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6B39F" w14:textId="31379835" w:rsidR="00BE5B4B" w:rsidRPr="004C503A" w:rsidRDefault="004C503A" w:rsidP="004C503A">
      <w:pPr>
        <w:jc w:val="center"/>
        <w:rPr>
          <w:sz w:val="32"/>
          <w:szCs w:val="32"/>
        </w:rPr>
      </w:pPr>
      <w:r w:rsidRPr="004C503A">
        <w:rPr>
          <w:rFonts w:hint="eastAsia"/>
          <w:sz w:val="32"/>
          <w:szCs w:val="32"/>
          <w:u w:val="single"/>
        </w:rPr>
        <w:t>(</w:t>
      </w:r>
      <w:r w:rsidRPr="004C503A">
        <w:rPr>
          <w:rFonts w:hint="eastAsia"/>
          <w:sz w:val="32"/>
          <w:szCs w:val="32"/>
          <w:u w:val="single"/>
        </w:rPr>
        <w:t>廠商名稱</w:t>
      </w:r>
      <w:r w:rsidRPr="004C503A">
        <w:rPr>
          <w:rFonts w:hint="eastAsia"/>
          <w:sz w:val="32"/>
          <w:szCs w:val="32"/>
          <w:u w:val="single"/>
        </w:rPr>
        <w:t>)</w:t>
      </w:r>
      <w:r w:rsidRPr="004C503A">
        <w:rPr>
          <w:rFonts w:hint="eastAsia"/>
          <w:sz w:val="32"/>
          <w:szCs w:val="32"/>
        </w:rPr>
        <w:t>延繩釣漁具回收再利用計畫書</w:t>
      </w:r>
    </w:p>
    <w:p w14:paraId="6FF86457" w14:textId="7E6B8101" w:rsidR="005960A0" w:rsidRPr="005960A0" w:rsidRDefault="005960A0" w:rsidP="005960A0">
      <w:pPr>
        <w:jc w:val="center"/>
        <w:rPr>
          <w:rFonts w:ascii="標楷體" w:hAnsi="標楷體" w:cs="新細明體"/>
          <w:color w:val="FF0000"/>
          <w:kern w:val="0"/>
          <w:sz w:val="27"/>
          <w:szCs w:val="27"/>
        </w:rPr>
      </w:pPr>
      <w:r w:rsidRPr="005960A0">
        <w:rPr>
          <w:rFonts w:ascii="標楷體" w:hAnsi="標楷體" w:cs="新細明體" w:hint="eastAsia"/>
          <w:color w:val="FF0000"/>
          <w:kern w:val="0"/>
          <w:sz w:val="27"/>
          <w:szCs w:val="27"/>
        </w:rPr>
        <w:t>(以下為</w:t>
      </w:r>
      <w:r w:rsidR="00DF3F63">
        <w:rPr>
          <w:rFonts w:ascii="標楷體" w:hAnsi="標楷體" w:cs="新細明體" w:hint="eastAsia"/>
          <w:color w:val="FF0000"/>
          <w:kern w:val="0"/>
          <w:sz w:val="27"/>
          <w:szCs w:val="27"/>
        </w:rPr>
        <w:t>依據評選標準</w:t>
      </w:r>
      <w:r w:rsidRPr="005960A0">
        <w:rPr>
          <w:rFonts w:ascii="標楷體" w:hAnsi="標楷體" w:cs="新細明體" w:hint="eastAsia"/>
          <w:color w:val="FF0000"/>
          <w:kern w:val="0"/>
          <w:sz w:val="27"/>
          <w:szCs w:val="27"/>
        </w:rPr>
        <w:t>建議</w:t>
      </w:r>
      <w:r w:rsidR="00DF3F63">
        <w:rPr>
          <w:rFonts w:ascii="標楷體" w:hAnsi="標楷體" w:cs="新細明體" w:hint="eastAsia"/>
          <w:color w:val="FF0000"/>
          <w:kern w:val="0"/>
          <w:sz w:val="27"/>
          <w:szCs w:val="27"/>
        </w:rPr>
        <w:t>之</w:t>
      </w:r>
      <w:r w:rsidRPr="005960A0">
        <w:rPr>
          <w:rFonts w:ascii="標楷體" w:hAnsi="標楷體" w:cs="新細明體" w:hint="eastAsia"/>
          <w:color w:val="FF0000"/>
          <w:kern w:val="0"/>
          <w:sz w:val="27"/>
          <w:szCs w:val="27"/>
        </w:rPr>
        <w:t>撰寫大綱，可自行</w:t>
      </w:r>
      <w:r w:rsidR="00DF3F63">
        <w:rPr>
          <w:rFonts w:ascii="標楷體" w:hAnsi="標楷體" w:cs="新細明體" w:hint="eastAsia"/>
          <w:color w:val="FF0000"/>
          <w:kern w:val="0"/>
          <w:sz w:val="27"/>
          <w:szCs w:val="27"/>
        </w:rPr>
        <w:t>調整</w:t>
      </w:r>
      <w:r w:rsidRPr="005960A0">
        <w:rPr>
          <w:rFonts w:ascii="標楷體" w:hAnsi="標楷體" w:cs="新細明體"/>
          <w:color w:val="FF0000"/>
          <w:kern w:val="0"/>
          <w:sz w:val="27"/>
          <w:szCs w:val="27"/>
        </w:rPr>
        <w:t>)</w:t>
      </w:r>
    </w:p>
    <w:p w14:paraId="19499062" w14:textId="34099DD3" w:rsidR="004C503A" w:rsidRPr="004C503A" w:rsidRDefault="004C503A" w:rsidP="000251F7">
      <w:pPr>
        <w:spacing w:line="520" w:lineRule="exact"/>
        <w:jc w:val="both"/>
        <w:rPr>
          <w:rFonts w:ascii="標楷體" w:hAnsi="標楷體" w:cs="新細明體"/>
          <w:b/>
          <w:bCs/>
          <w:kern w:val="0"/>
          <w:szCs w:val="28"/>
        </w:rPr>
      </w:pPr>
      <w:r w:rsidRPr="004C503A">
        <w:rPr>
          <w:rFonts w:ascii="標楷體" w:hAnsi="標楷體" w:cs="新細明體"/>
          <w:b/>
          <w:bCs/>
          <w:kern w:val="0"/>
          <w:szCs w:val="28"/>
        </w:rPr>
        <w:t>第一章、廠商概況與執行能力</w:t>
      </w:r>
    </w:p>
    <w:p w14:paraId="3634AFEE" w14:textId="74254D90" w:rsidR="004C503A" w:rsidRPr="004C503A" w:rsidRDefault="004C503A" w:rsidP="000251F7">
      <w:pPr>
        <w:spacing w:line="520" w:lineRule="exact"/>
        <w:ind w:leftChars="126" w:left="849" w:hangingChars="177" w:hanging="496"/>
        <w:jc w:val="both"/>
        <w:rPr>
          <w:rFonts w:ascii="標楷體" w:hAnsi="標楷體" w:cs="新細明體"/>
          <w:kern w:val="0"/>
          <w:szCs w:val="28"/>
        </w:rPr>
      </w:pPr>
      <w:r w:rsidRPr="004C503A">
        <w:rPr>
          <w:rFonts w:ascii="標楷體" w:hAnsi="標楷體" w:cs="新細明體"/>
          <w:b/>
          <w:bCs/>
          <w:kern w:val="0"/>
          <w:szCs w:val="28"/>
        </w:rPr>
        <w:t>1.1廠商基本介紹：</w:t>
      </w:r>
      <w:r w:rsidRPr="004C503A">
        <w:rPr>
          <w:rFonts w:ascii="標楷體" w:hAnsi="標楷體" w:cs="新細明體"/>
          <w:kern w:val="0"/>
          <w:szCs w:val="28"/>
        </w:rPr>
        <w:t>包含公司簡介、組織架構及營運實績。</w:t>
      </w:r>
    </w:p>
    <w:p w14:paraId="1E4E1D5F" w14:textId="015C819B" w:rsidR="004C503A" w:rsidRPr="004C503A" w:rsidRDefault="004C503A" w:rsidP="000251F7">
      <w:pPr>
        <w:spacing w:line="520" w:lineRule="exact"/>
        <w:ind w:leftChars="126" w:left="849" w:hangingChars="177" w:hanging="496"/>
        <w:jc w:val="both"/>
        <w:rPr>
          <w:rFonts w:ascii="標楷體" w:hAnsi="標楷體" w:cs="新細明體"/>
          <w:kern w:val="0"/>
          <w:szCs w:val="28"/>
        </w:rPr>
      </w:pPr>
      <w:r w:rsidRPr="004C503A">
        <w:rPr>
          <w:rFonts w:ascii="標楷體" w:hAnsi="標楷體" w:cs="新細明體"/>
          <w:b/>
          <w:bCs/>
          <w:kern w:val="0"/>
          <w:szCs w:val="28"/>
        </w:rPr>
        <w:t>1.2相關經驗說明：</w:t>
      </w:r>
      <w:r w:rsidRPr="004C503A">
        <w:rPr>
          <w:rFonts w:ascii="標楷體" w:hAnsi="標楷體" w:cs="新細明體"/>
          <w:kern w:val="0"/>
          <w:szCs w:val="28"/>
        </w:rPr>
        <w:t>描述過去執行</w:t>
      </w:r>
      <w:r w:rsidR="005960A0" w:rsidRPr="000251F7">
        <w:rPr>
          <w:rFonts w:ascii="標楷體" w:hAnsi="標楷體" w:cs="新細明體" w:hint="eastAsia"/>
          <w:kern w:val="0"/>
          <w:szCs w:val="28"/>
        </w:rPr>
        <w:t>廢</w:t>
      </w:r>
      <w:r w:rsidRPr="004C503A">
        <w:rPr>
          <w:rFonts w:ascii="標楷體" w:hAnsi="標楷體" w:cs="新細明體"/>
          <w:kern w:val="0"/>
          <w:szCs w:val="28"/>
        </w:rPr>
        <w:t>塑膠再利用或循環經濟</w:t>
      </w:r>
      <w:r w:rsidR="005960A0" w:rsidRPr="000251F7">
        <w:rPr>
          <w:rFonts w:ascii="標楷體" w:hAnsi="標楷體" w:cs="新細明體" w:hint="eastAsia"/>
          <w:kern w:val="0"/>
          <w:szCs w:val="28"/>
        </w:rPr>
        <w:t>之</w:t>
      </w:r>
      <w:r w:rsidRPr="004C503A">
        <w:rPr>
          <w:rFonts w:ascii="標楷體" w:hAnsi="標楷體" w:cs="新細明體"/>
          <w:kern w:val="0"/>
          <w:szCs w:val="28"/>
        </w:rPr>
        <w:t>相關經驗。</w:t>
      </w:r>
    </w:p>
    <w:p w14:paraId="35C98C2C" w14:textId="19D4477C" w:rsidR="004C503A" w:rsidRPr="004C503A" w:rsidRDefault="004C503A" w:rsidP="00EB3FBB">
      <w:pPr>
        <w:spacing w:line="520" w:lineRule="exact"/>
        <w:ind w:leftChars="126" w:left="849" w:hangingChars="177" w:hanging="496"/>
        <w:rPr>
          <w:rFonts w:ascii="標楷體" w:hAnsi="標楷體" w:cs="新細明體"/>
          <w:kern w:val="0"/>
          <w:szCs w:val="28"/>
        </w:rPr>
      </w:pPr>
      <w:r w:rsidRPr="004C503A">
        <w:rPr>
          <w:rFonts w:ascii="標楷體" w:hAnsi="標楷體" w:cs="新細明體"/>
          <w:b/>
          <w:bCs/>
          <w:kern w:val="0"/>
          <w:szCs w:val="28"/>
        </w:rPr>
        <w:t>1.3專業技術能量：</w:t>
      </w:r>
      <w:r w:rsidRPr="004C503A">
        <w:rPr>
          <w:rFonts w:ascii="標楷體" w:hAnsi="標楷體" w:cs="新細明體"/>
          <w:kern w:val="0"/>
          <w:szCs w:val="28"/>
        </w:rPr>
        <w:t>說明所具備之延繩釣尼龍</w:t>
      </w:r>
      <w:proofErr w:type="gramStart"/>
      <w:r w:rsidRPr="004C503A">
        <w:rPr>
          <w:rFonts w:ascii="標楷體" w:hAnsi="標楷體" w:cs="新細明體"/>
          <w:kern w:val="0"/>
          <w:szCs w:val="28"/>
        </w:rPr>
        <w:t>釣繩再</w:t>
      </w:r>
      <w:proofErr w:type="gramEnd"/>
      <w:r w:rsidRPr="004C503A">
        <w:rPr>
          <w:rFonts w:ascii="標楷體" w:hAnsi="標楷體" w:cs="新細明體"/>
          <w:kern w:val="0"/>
          <w:szCs w:val="28"/>
        </w:rPr>
        <w:t>利用技術、專利或研發能力。</w:t>
      </w:r>
    </w:p>
    <w:p w14:paraId="1013327A" w14:textId="20AEDF2F" w:rsidR="004C503A" w:rsidRPr="004C503A" w:rsidRDefault="004C503A" w:rsidP="000251F7">
      <w:pPr>
        <w:spacing w:line="520" w:lineRule="exact"/>
        <w:ind w:leftChars="126" w:left="849" w:hangingChars="177" w:hanging="496"/>
        <w:jc w:val="both"/>
        <w:rPr>
          <w:rFonts w:ascii="標楷體" w:hAnsi="標楷體" w:cs="新細明體"/>
          <w:kern w:val="0"/>
          <w:szCs w:val="28"/>
        </w:rPr>
      </w:pPr>
      <w:r w:rsidRPr="004C503A">
        <w:rPr>
          <w:rFonts w:ascii="標楷體" w:hAnsi="標楷體" w:cs="新細明體"/>
          <w:b/>
          <w:bCs/>
          <w:kern w:val="0"/>
          <w:szCs w:val="28"/>
        </w:rPr>
        <w:t>1.4設備規模與場域：</w:t>
      </w:r>
      <w:r w:rsidRPr="004C503A">
        <w:rPr>
          <w:rFonts w:ascii="標楷體" w:hAnsi="標楷體" w:cs="新細明體"/>
          <w:kern w:val="0"/>
          <w:szCs w:val="28"/>
        </w:rPr>
        <w:t>列出再利用工廠之設備清單、產能規模。</w:t>
      </w:r>
    </w:p>
    <w:p w14:paraId="4B843887" w14:textId="36D15323" w:rsidR="004C503A" w:rsidRPr="004C503A" w:rsidRDefault="004C503A" w:rsidP="000251F7">
      <w:pPr>
        <w:spacing w:beforeLines="50" w:before="180" w:line="520" w:lineRule="exact"/>
        <w:jc w:val="both"/>
        <w:rPr>
          <w:rFonts w:ascii="標楷體" w:hAnsi="標楷體" w:cs="新細明體"/>
          <w:b/>
          <w:bCs/>
          <w:kern w:val="0"/>
          <w:szCs w:val="28"/>
        </w:rPr>
      </w:pPr>
      <w:r w:rsidRPr="004C503A">
        <w:rPr>
          <w:rFonts w:ascii="標楷體" w:hAnsi="標楷體" w:cs="新細明體"/>
          <w:b/>
          <w:bCs/>
          <w:kern w:val="0"/>
          <w:szCs w:val="28"/>
        </w:rPr>
        <w:t>第二章、再利用</w:t>
      </w:r>
      <w:r w:rsidR="00616267" w:rsidRPr="000251F7">
        <w:rPr>
          <w:rFonts w:ascii="標楷體" w:hAnsi="標楷體" w:cs="新細明體" w:hint="eastAsia"/>
          <w:b/>
          <w:bCs/>
          <w:kern w:val="0"/>
          <w:szCs w:val="28"/>
        </w:rPr>
        <w:t>規劃與需求量</w:t>
      </w:r>
    </w:p>
    <w:p w14:paraId="2A797474" w14:textId="70447F28" w:rsidR="004C503A" w:rsidRPr="004C503A" w:rsidRDefault="004C503A" w:rsidP="00EB3FBB">
      <w:pPr>
        <w:spacing w:line="520" w:lineRule="exact"/>
        <w:ind w:leftChars="126" w:left="849" w:hangingChars="177" w:hanging="496"/>
        <w:rPr>
          <w:rFonts w:ascii="標楷體" w:hAnsi="標楷體" w:cs="新細明體"/>
          <w:kern w:val="0"/>
          <w:szCs w:val="28"/>
        </w:rPr>
      </w:pPr>
      <w:r w:rsidRPr="004C503A">
        <w:rPr>
          <w:rFonts w:ascii="標楷體" w:hAnsi="標楷體" w:cs="新細明體"/>
          <w:b/>
          <w:bCs/>
          <w:kern w:val="0"/>
          <w:szCs w:val="28"/>
        </w:rPr>
        <w:t>2.1</w:t>
      </w:r>
      <w:r w:rsidR="00DA3139" w:rsidRPr="000251F7">
        <w:rPr>
          <w:rFonts w:ascii="標楷體" w:hAnsi="標楷體" w:cs="新細明體" w:hint="eastAsia"/>
          <w:b/>
          <w:bCs/>
          <w:kern w:val="0"/>
          <w:szCs w:val="28"/>
        </w:rPr>
        <w:t>年度收購量與需求穩定性</w:t>
      </w:r>
      <w:r w:rsidRPr="004C503A">
        <w:rPr>
          <w:rFonts w:ascii="標楷體" w:hAnsi="標楷體" w:cs="新細明體"/>
          <w:b/>
          <w:bCs/>
          <w:kern w:val="0"/>
          <w:szCs w:val="28"/>
        </w:rPr>
        <w:t>：</w:t>
      </w:r>
      <w:r w:rsidR="00DA3139" w:rsidRPr="000251F7">
        <w:rPr>
          <w:rFonts w:ascii="標楷體" w:hAnsi="標楷體" w:cs="新細明體" w:hint="eastAsia"/>
          <w:kern w:val="0"/>
          <w:szCs w:val="28"/>
        </w:rPr>
        <w:t>說明預計收購</w:t>
      </w:r>
      <w:proofErr w:type="gramStart"/>
      <w:r w:rsidR="00DA3139" w:rsidRPr="000251F7">
        <w:rPr>
          <w:rFonts w:ascii="標楷體" w:hAnsi="標楷體" w:cs="新細明體" w:hint="eastAsia"/>
          <w:kern w:val="0"/>
          <w:szCs w:val="28"/>
        </w:rPr>
        <w:t>尼龍釣繩之</w:t>
      </w:r>
      <w:proofErr w:type="gramEnd"/>
      <w:r w:rsidR="00DA3139" w:rsidRPr="000251F7">
        <w:rPr>
          <w:rFonts w:ascii="標楷體" w:hAnsi="標楷體" w:cs="新細明體" w:hint="eastAsia"/>
          <w:kern w:val="0"/>
          <w:szCs w:val="28"/>
        </w:rPr>
        <w:t>年度需求量，並具體提出如何維持收購需求穩定之規劃，確保不因下游訂單波動而暫停收受作業。</w:t>
      </w:r>
    </w:p>
    <w:p w14:paraId="7CF3AB46" w14:textId="2D843DA6" w:rsidR="004C503A" w:rsidRPr="004C503A" w:rsidRDefault="004C503A" w:rsidP="000251F7">
      <w:pPr>
        <w:spacing w:line="520" w:lineRule="exact"/>
        <w:ind w:leftChars="126" w:left="849" w:hangingChars="177" w:hanging="496"/>
        <w:jc w:val="both"/>
        <w:rPr>
          <w:rFonts w:ascii="標楷體" w:hAnsi="標楷體" w:cs="新細明體"/>
          <w:kern w:val="0"/>
          <w:szCs w:val="28"/>
        </w:rPr>
      </w:pPr>
      <w:r w:rsidRPr="004C503A">
        <w:rPr>
          <w:rFonts w:ascii="標楷體" w:hAnsi="標楷體" w:cs="新細明體"/>
          <w:b/>
          <w:bCs/>
          <w:kern w:val="0"/>
          <w:szCs w:val="28"/>
        </w:rPr>
        <w:t>2.2收購及運輸流程：</w:t>
      </w:r>
      <w:r w:rsidRPr="004C503A">
        <w:rPr>
          <w:rFonts w:ascii="標楷體" w:hAnsi="標楷體" w:cs="新細明體"/>
          <w:kern w:val="0"/>
          <w:szCs w:val="28"/>
        </w:rPr>
        <w:t>說明自示範場域（南方澳、東港鹽</w:t>
      </w:r>
      <w:proofErr w:type="gramStart"/>
      <w:r w:rsidRPr="004C503A">
        <w:rPr>
          <w:rFonts w:ascii="標楷體" w:hAnsi="標楷體" w:cs="新細明體"/>
          <w:kern w:val="0"/>
          <w:szCs w:val="28"/>
        </w:rPr>
        <w:t>埔</w:t>
      </w:r>
      <w:proofErr w:type="gramEnd"/>
      <w:r w:rsidRPr="004C503A">
        <w:rPr>
          <w:rFonts w:ascii="標楷體" w:hAnsi="標楷體" w:cs="新細明體"/>
          <w:kern w:val="0"/>
          <w:szCs w:val="28"/>
        </w:rPr>
        <w:t>）載運之頻率</w:t>
      </w:r>
      <w:r w:rsidR="00DF3F63" w:rsidRPr="000251F7">
        <w:rPr>
          <w:rFonts w:ascii="標楷體" w:hAnsi="標楷體" w:cs="新細明體" w:hint="eastAsia"/>
          <w:kern w:val="0"/>
          <w:szCs w:val="28"/>
        </w:rPr>
        <w:t>、</w:t>
      </w:r>
      <w:r w:rsidR="00DF3F63" w:rsidRPr="004C503A">
        <w:rPr>
          <w:rFonts w:ascii="標楷體" w:hAnsi="標楷體" w:cs="新細明體"/>
          <w:kern w:val="0"/>
          <w:szCs w:val="28"/>
        </w:rPr>
        <w:t>載運單位與車輛安排</w:t>
      </w:r>
      <w:r w:rsidRPr="004C503A">
        <w:rPr>
          <w:rFonts w:ascii="標楷體" w:hAnsi="標楷體" w:cs="新細明體"/>
          <w:kern w:val="0"/>
          <w:szCs w:val="28"/>
        </w:rPr>
        <w:t>。</w:t>
      </w:r>
    </w:p>
    <w:p w14:paraId="2AFE907F" w14:textId="04FA1806" w:rsidR="004C503A" w:rsidRPr="004C503A" w:rsidRDefault="004C503A" w:rsidP="000251F7">
      <w:pPr>
        <w:spacing w:line="520" w:lineRule="exact"/>
        <w:ind w:leftChars="126" w:left="849" w:hangingChars="177" w:hanging="496"/>
        <w:jc w:val="both"/>
        <w:rPr>
          <w:rFonts w:ascii="標楷體" w:hAnsi="標楷體" w:cs="新細明體"/>
          <w:kern w:val="0"/>
          <w:szCs w:val="28"/>
        </w:rPr>
      </w:pPr>
      <w:r w:rsidRPr="004C503A">
        <w:rPr>
          <w:rFonts w:ascii="標楷體" w:hAnsi="標楷體" w:cs="新細明體"/>
          <w:b/>
          <w:bCs/>
          <w:kern w:val="0"/>
          <w:szCs w:val="28"/>
        </w:rPr>
        <w:t>2.3再利用技術說明：</w:t>
      </w:r>
      <w:r w:rsidRPr="004C503A">
        <w:rPr>
          <w:rFonts w:ascii="標楷體" w:hAnsi="標楷體" w:cs="新細明體"/>
          <w:kern w:val="0"/>
          <w:szCs w:val="28"/>
        </w:rPr>
        <w:t>描述回收後之處理製程（如清洗、造粒、抽絲等）。</w:t>
      </w:r>
    </w:p>
    <w:p w14:paraId="02FA198E" w14:textId="6BC8438F" w:rsidR="004C503A" w:rsidRPr="004C503A" w:rsidRDefault="004C503A" w:rsidP="000251F7">
      <w:pPr>
        <w:spacing w:beforeLines="50" w:before="180" w:line="520" w:lineRule="exact"/>
        <w:jc w:val="both"/>
        <w:rPr>
          <w:rFonts w:ascii="標楷體" w:hAnsi="標楷體" w:cs="新細明體"/>
          <w:b/>
          <w:bCs/>
          <w:kern w:val="0"/>
          <w:szCs w:val="28"/>
        </w:rPr>
      </w:pPr>
      <w:r w:rsidRPr="004C503A">
        <w:rPr>
          <w:rFonts w:ascii="標楷體" w:hAnsi="標楷體" w:cs="新細明體"/>
          <w:b/>
          <w:bCs/>
          <w:kern w:val="0"/>
          <w:szCs w:val="28"/>
        </w:rPr>
        <w:t>第三章、回饋方案</w:t>
      </w:r>
    </w:p>
    <w:p w14:paraId="4FB2FFA7" w14:textId="176F2D6D" w:rsidR="004C503A" w:rsidRPr="004C503A" w:rsidRDefault="004C503A" w:rsidP="000251F7">
      <w:pPr>
        <w:spacing w:line="520" w:lineRule="exact"/>
        <w:ind w:leftChars="126" w:left="849" w:hangingChars="177" w:hanging="496"/>
        <w:jc w:val="both"/>
        <w:rPr>
          <w:rFonts w:ascii="標楷體" w:hAnsi="標楷體" w:cs="新細明體"/>
          <w:b/>
          <w:bCs/>
          <w:kern w:val="0"/>
          <w:szCs w:val="28"/>
        </w:rPr>
      </w:pPr>
      <w:r w:rsidRPr="004C503A">
        <w:rPr>
          <w:rFonts w:ascii="標楷體" w:hAnsi="標楷體" w:cs="新細明體"/>
          <w:b/>
          <w:bCs/>
          <w:kern w:val="0"/>
          <w:szCs w:val="28"/>
        </w:rPr>
        <w:t>3.1</w:t>
      </w:r>
      <w:proofErr w:type="gramStart"/>
      <w:r w:rsidRPr="004C503A">
        <w:rPr>
          <w:rFonts w:ascii="標楷體" w:hAnsi="標楷體" w:cs="新細明體"/>
          <w:b/>
          <w:bCs/>
          <w:kern w:val="0"/>
          <w:szCs w:val="28"/>
        </w:rPr>
        <w:t>尼龍釣繩收購</w:t>
      </w:r>
      <w:proofErr w:type="gramEnd"/>
      <w:r w:rsidRPr="004C503A">
        <w:rPr>
          <w:rFonts w:ascii="標楷體" w:hAnsi="標楷體" w:cs="新細明體"/>
          <w:b/>
          <w:bCs/>
          <w:kern w:val="0"/>
          <w:szCs w:val="28"/>
        </w:rPr>
        <w:t>單價：</w:t>
      </w:r>
      <w:r w:rsidRPr="004C503A">
        <w:rPr>
          <w:rFonts w:ascii="標楷體" w:hAnsi="標楷體" w:cs="新細明體"/>
          <w:kern w:val="0"/>
          <w:szCs w:val="28"/>
        </w:rPr>
        <w:t>每公斤收購金額。</w:t>
      </w:r>
    </w:p>
    <w:p w14:paraId="59D39A62" w14:textId="11DED41C" w:rsidR="004C503A" w:rsidRPr="004C503A" w:rsidRDefault="004C503A" w:rsidP="000251F7">
      <w:pPr>
        <w:spacing w:line="520" w:lineRule="exact"/>
        <w:ind w:leftChars="126" w:left="849" w:hangingChars="177" w:hanging="496"/>
        <w:jc w:val="both"/>
        <w:rPr>
          <w:rFonts w:ascii="標楷體" w:hAnsi="標楷體" w:cs="新細明體"/>
          <w:kern w:val="0"/>
          <w:szCs w:val="28"/>
        </w:rPr>
      </w:pPr>
      <w:r w:rsidRPr="004C503A">
        <w:rPr>
          <w:rFonts w:ascii="標楷體" w:hAnsi="標楷體" w:cs="新細明體"/>
          <w:b/>
          <w:bCs/>
          <w:kern w:val="0"/>
          <w:szCs w:val="28"/>
        </w:rPr>
        <w:t>3.2漁民及漁會回饋機制：</w:t>
      </w:r>
      <w:r w:rsidRPr="004C503A">
        <w:rPr>
          <w:rFonts w:ascii="標楷體" w:hAnsi="標楷體" w:cs="新細明體"/>
          <w:kern w:val="0"/>
          <w:szCs w:val="28"/>
        </w:rPr>
        <w:t>針對漁民之回饋方式（如物資</w:t>
      </w:r>
      <w:r w:rsidR="003E47D3" w:rsidRPr="000251F7">
        <w:rPr>
          <w:rFonts w:ascii="標楷體" w:hAnsi="標楷體" w:cs="新細明體" w:hint="eastAsia"/>
          <w:kern w:val="0"/>
          <w:szCs w:val="28"/>
        </w:rPr>
        <w:t>、服務</w:t>
      </w:r>
      <w:r w:rsidRPr="004C503A">
        <w:rPr>
          <w:rFonts w:ascii="標楷體" w:hAnsi="標楷體" w:cs="新細明體"/>
          <w:kern w:val="0"/>
          <w:szCs w:val="28"/>
        </w:rPr>
        <w:t>或其他誘因）</w:t>
      </w:r>
      <w:r w:rsidR="003E47D3" w:rsidRPr="000251F7">
        <w:rPr>
          <w:rFonts w:ascii="標楷體" w:hAnsi="標楷體" w:cs="新細明體" w:hint="eastAsia"/>
          <w:kern w:val="0"/>
          <w:szCs w:val="28"/>
        </w:rPr>
        <w:t>，以及</w:t>
      </w:r>
      <w:r w:rsidRPr="004C503A">
        <w:rPr>
          <w:rFonts w:ascii="標楷體" w:hAnsi="標楷體" w:cs="新細明體"/>
          <w:kern w:val="0"/>
          <w:szCs w:val="28"/>
        </w:rPr>
        <w:t>針對漁會行政協助之回饋。</w:t>
      </w:r>
    </w:p>
    <w:p w14:paraId="25D685A2" w14:textId="5A2727A6" w:rsidR="004C503A" w:rsidRPr="004C503A" w:rsidRDefault="004C503A" w:rsidP="000251F7">
      <w:pPr>
        <w:spacing w:beforeLines="50" w:before="180" w:line="520" w:lineRule="exact"/>
        <w:jc w:val="both"/>
        <w:rPr>
          <w:rFonts w:ascii="標楷體" w:hAnsi="標楷體" w:cs="新細明體"/>
          <w:b/>
          <w:bCs/>
          <w:kern w:val="0"/>
          <w:szCs w:val="28"/>
        </w:rPr>
      </w:pPr>
      <w:r w:rsidRPr="004C503A">
        <w:rPr>
          <w:rFonts w:ascii="標楷體" w:hAnsi="標楷體" w:cs="新細明體"/>
          <w:b/>
          <w:bCs/>
          <w:kern w:val="0"/>
          <w:szCs w:val="28"/>
        </w:rPr>
        <w:t>第四章、</w:t>
      </w:r>
      <w:r w:rsidR="00616267" w:rsidRPr="004C503A">
        <w:rPr>
          <w:rFonts w:ascii="標楷體" w:hAnsi="標楷體" w:cs="新細明體"/>
          <w:b/>
          <w:bCs/>
          <w:kern w:val="0"/>
          <w:szCs w:val="28"/>
        </w:rPr>
        <w:t>預期效益分析</w:t>
      </w:r>
    </w:p>
    <w:p w14:paraId="32CEDB29" w14:textId="002D59F1" w:rsidR="004C503A" w:rsidRPr="004C503A" w:rsidRDefault="004C503A" w:rsidP="000251F7">
      <w:pPr>
        <w:spacing w:line="520" w:lineRule="exact"/>
        <w:ind w:leftChars="126" w:left="849" w:hangingChars="177" w:hanging="496"/>
        <w:jc w:val="both"/>
        <w:rPr>
          <w:rFonts w:ascii="標楷體" w:hAnsi="標楷體" w:cs="新細明體"/>
          <w:kern w:val="0"/>
          <w:szCs w:val="28"/>
        </w:rPr>
      </w:pPr>
      <w:r w:rsidRPr="004C503A">
        <w:rPr>
          <w:rFonts w:ascii="標楷體" w:hAnsi="標楷體" w:cs="新細明體"/>
          <w:b/>
          <w:bCs/>
          <w:kern w:val="0"/>
          <w:szCs w:val="28"/>
        </w:rPr>
        <w:t>5.1產出品項與銷售流向：</w:t>
      </w:r>
      <w:r w:rsidRPr="004C503A">
        <w:rPr>
          <w:rFonts w:ascii="標楷體" w:hAnsi="標楷體" w:cs="新細明體"/>
          <w:kern w:val="0"/>
          <w:szCs w:val="28"/>
        </w:rPr>
        <w:t>說明再生產品項目、預期產量</w:t>
      </w:r>
      <w:r w:rsidR="00B5712D" w:rsidRPr="000251F7">
        <w:rPr>
          <w:rFonts w:ascii="標楷體" w:hAnsi="標楷體" w:cs="新細明體" w:hint="eastAsia"/>
          <w:kern w:val="0"/>
          <w:szCs w:val="28"/>
        </w:rPr>
        <w:t>、產值</w:t>
      </w:r>
      <w:r w:rsidRPr="004C503A">
        <w:rPr>
          <w:rFonts w:ascii="標楷體" w:hAnsi="標楷體" w:cs="新細明體"/>
          <w:kern w:val="0"/>
          <w:szCs w:val="28"/>
        </w:rPr>
        <w:t>及市場</w:t>
      </w:r>
      <w:r w:rsidR="00DD0CF5" w:rsidRPr="000251F7">
        <w:rPr>
          <w:rFonts w:ascii="標楷體" w:hAnsi="標楷體" w:cs="新細明體" w:hint="eastAsia"/>
          <w:kern w:val="0"/>
          <w:szCs w:val="28"/>
        </w:rPr>
        <w:t>需求</w:t>
      </w:r>
      <w:r w:rsidRPr="004C503A">
        <w:rPr>
          <w:rFonts w:ascii="標楷體" w:hAnsi="標楷體" w:cs="新細明體"/>
          <w:kern w:val="0"/>
          <w:szCs w:val="28"/>
        </w:rPr>
        <w:t>。</w:t>
      </w:r>
    </w:p>
    <w:p w14:paraId="4AD8913C" w14:textId="4EA177A8" w:rsidR="004C503A" w:rsidRPr="000251F7" w:rsidRDefault="004C503A" w:rsidP="00EB3FBB">
      <w:pPr>
        <w:spacing w:line="520" w:lineRule="exact"/>
        <w:ind w:leftChars="126" w:left="849" w:hangingChars="177" w:hanging="496"/>
        <w:jc w:val="both"/>
        <w:rPr>
          <w:rFonts w:ascii="標楷體" w:hAnsi="標楷體" w:cs="新細明體"/>
          <w:kern w:val="0"/>
          <w:szCs w:val="28"/>
        </w:rPr>
      </w:pPr>
      <w:r w:rsidRPr="004C503A">
        <w:rPr>
          <w:rFonts w:ascii="標楷體" w:hAnsi="標楷體" w:cs="新細明體"/>
          <w:b/>
          <w:bCs/>
          <w:kern w:val="0"/>
          <w:szCs w:val="28"/>
        </w:rPr>
        <w:t>5.2循環經濟效益：</w:t>
      </w:r>
      <w:r w:rsidR="00B5712D" w:rsidRPr="000251F7">
        <w:rPr>
          <w:rFonts w:ascii="標楷體" w:hAnsi="標楷體" w:cs="新細明體" w:hint="eastAsia"/>
          <w:kern w:val="0"/>
          <w:szCs w:val="28"/>
        </w:rPr>
        <w:t>質化或量化</w:t>
      </w:r>
      <w:r w:rsidRPr="004C503A">
        <w:rPr>
          <w:rFonts w:ascii="標楷體" w:hAnsi="標楷體" w:cs="新細明體"/>
          <w:kern w:val="0"/>
          <w:szCs w:val="28"/>
        </w:rPr>
        <w:t>說明</w:t>
      </w:r>
      <w:r w:rsidR="00B5712D" w:rsidRPr="000251F7">
        <w:rPr>
          <w:rFonts w:ascii="標楷體" w:hAnsi="標楷體" w:cs="新細明體" w:hint="eastAsia"/>
          <w:kern w:val="0"/>
          <w:szCs w:val="28"/>
        </w:rPr>
        <w:t>使用再生尼龍所產生之</w:t>
      </w:r>
      <w:r w:rsidRPr="004C503A">
        <w:rPr>
          <w:rFonts w:ascii="標楷體" w:hAnsi="標楷體" w:cs="新細明體"/>
          <w:kern w:val="0"/>
          <w:szCs w:val="28"/>
        </w:rPr>
        <w:t>效益</w:t>
      </w:r>
      <w:r w:rsidR="00B5712D" w:rsidRPr="000251F7">
        <w:rPr>
          <w:rFonts w:ascii="標楷體" w:hAnsi="標楷體" w:cs="新細明體" w:hint="eastAsia"/>
          <w:kern w:val="0"/>
          <w:szCs w:val="28"/>
        </w:rPr>
        <w:t>（如降低生產成本、增加產品價值、擴大銷售市場等）</w:t>
      </w:r>
      <w:r w:rsidRPr="004C503A">
        <w:rPr>
          <w:rFonts w:ascii="標楷體" w:hAnsi="標楷體" w:cs="新細明體"/>
          <w:kern w:val="0"/>
          <w:szCs w:val="28"/>
        </w:rPr>
        <w:t>。</w:t>
      </w:r>
    </w:p>
    <w:sectPr w:rsidR="004C503A" w:rsidRPr="000251F7" w:rsidSect="000251F7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015B8" w14:textId="77777777" w:rsidR="00226BEF" w:rsidRDefault="00226BEF" w:rsidP="004C503A">
      <w:r>
        <w:separator/>
      </w:r>
    </w:p>
  </w:endnote>
  <w:endnote w:type="continuationSeparator" w:id="0">
    <w:p w14:paraId="4CBE2FE7" w14:textId="77777777" w:rsidR="00226BEF" w:rsidRDefault="00226BEF" w:rsidP="004C5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42497" w14:textId="77777777" w:rsidR="00226BEF" w:rsidRDefault="00226BEF" w:rsidP="004C503A">
      <w:r>
        <w:separator/>
      </w:r>
    </w:p>
  </w:footnote>
  <w:footnote w:type="continuationSeparator" w:id="0">
    <w:p w14:paraId="6153317E" w14:textId="77777777" w:rsidR="00226BEF" w:rsidRDefault="00226BEF" w:rsidP="004C5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166F7D"/>
    <w:multiLevelType w:val="multilevel"/>
    <w:tmpl w:val="A586A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682A15"/>
    <w:multiLevelType w:val="multilevel"/>
    <w:tmpl w:val="2C423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5D5097"/>
    <w:multiLevelType w:val="multilevel"/>
    <w:tmpl w:val="FBB4C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F249E3"/>
    <w:multiLevelType w:val="multilevel"/>
    <w:tmpl w:val="B7F83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1F5CC1"/>
    <w:multiLevelType w:val="multilevel"/>
    <w:tmpl w:val="5950A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8D8"/>
    <w:rsid w:val="000251F7"/>
    <w:rsid w:val="00226BEF"/>
    <w:rsid w:val="002408D8"/>
    <w:rsid w:val="003E47D3"/>
    <w:rsid w:val="00410427"/>
    <w:rsid w:val="004C503A"/>
    <w:rsid w:val="005062D6"/>
    <w:rsid w:val="005960A0"/>
    <w:rsid w:val="00616267"/>
    <w:rsid w:val="00B5712D"/>
    <w:rsid w:val="00BE5B4B"/>
    <w:rsid w:val="00C15EFA"/>
    <w:rsid w:val="00D9310A"/>
    <w:rsid w:val="00DA3139"/>
    <w:rsid w:val="00DD0CF5"/>
    <w:rsid w:val="00DF3F63"/>
    <w:rsid w:val="00EB3FBB"/>
    <w:rsid w:val="00EC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18C57D"/>
  <w15:chartTrackingRefBased/>
  <w15:docId w15:val="{FA62B031-1246-4E77-9476-4752E816E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theme="minorBidi"/>
        <w:kern w:val="2"/>
        <w:sz w:val="28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4C50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C503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C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C503A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4C50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4C50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citation-906">
    <w:name w:val="citation-906"/>
    <w:basedOn w:val="a0"/>
    <w:rsid w:val="004C503A"/>
  </w:style>
  <w:style w:type="character" w:customStyle="1" w:styleId="citation-905">
    <w:name w:val="citation-905"/>
    <w:basedOn w:val="a0"/>
    <w:rsid w:val="004C503A"/>
  </w:style>
  <w:style w:type="character" w:customStyle="1" w:styleId="citation-904">
    <w:name w:val="citation-904"/>
    <w:basedOn w:val="a0"/>
    <w:rsid w:val="004C503A"/>
  </w:style>
  <w:style w:type="character" w:customStyle="1" w:styleId="citation-903">
    <w:name w:val="citation-903"/>
    <w:basedOn w:val="a0"/>
    <w:rsid w:val="004C503A"/>
  </w:style>
  <w:style w:type="character" w:customStyle="1" w:styleId="citation-902">
    <w:name w:val="citation-902"/>
    <w:basedOn w:val="a0"/>
    <w:rsid w:val="004C503A"/>
  </w:style>
  <w:style w:type="character" w:customStyle="1" w:styleId="citation-901">
    <w:name w:val="citation-901"/>
    <w:basedOn w:val="a0"/>
    <w:rsid w:val="004C503A"/>
  </w:style>
  <w:style w:type="character" w:customStyle="1" w:styleId="citation-900">
    <w:name w:val="citation-900"/>
    <w:basedOn w:val="a0"/>
    <w:rsid w:val="004C503A"/>
  </w:style>
  <w:style w:type="character" w:customStyle="1" w:styleId="citation-899">
    <w:name w:val="citation-899"/>
    <w:basedOn w:val="a0"/>
    <w:rsid w:val="004C503A"/>
  </w:style>
  <w:style w:type="character" w:customStyle="1" w:styleId="citation-898">
    <w:name w:val="citation-898"/>
    <w:basedOn w:val="a0"/>
    <w:rsid w:val="004C503A"/>
  </w:style>
  <w:style w:type="character" w:customStyle="1" w:styleId="citation-897">
    <w:name w:val="citation-897"/>
    <w:basedOn w:val="a0"/>
    <w:rsid w:val="004C503A"/>
  </w:style>
  <w:style w:type="character" w:customStyle="1" w:styleId="citation-896">
    <w:name w:val="citation-896"/>
    <w:basedOn w:val="a0"/>
    <w:rsid w:val="004C503A"/>
  </w:style>
  <w:style w:type="character" w:customStyle="1" w:styleId="citation-895">
    <w:name w:val="citation-895"/>
    <w:basedOn w:val="a0"/>
    <w:rsid w:val="004C503A"/>
  </w:style>
  <w:style w:type="character" w:customStyle="1" w:styleId="citation-894">
    <w:name w:val="citation-894"/>
    <w:basedOn w:val="a0"/>
    <w:rsid w:val="004C503A"/>
  </w:style>
  <w:style w:type="character" w:customStyle="1" w:styleId="citation-893">
    <w:name w:val="citation-893"/>
    <w:basedOn w:val="a0"/>
    <w:rsid w:val="004C503A"/>
  </w:style>
  <w:style w:type="character" w:customStyle="1" w:styleId="citation-892">
    <w:name w:val="citation-892"/>
    <w:basedOn w:val="a0"/>
    <w:rsid w:val="004C503A"/>
  </w:style>
  <w:style w:type="character" w:customStyle="1" w:styleId="citation-891">
    <w:name w:val="citation-891"/>
    <w:basedOn w:val="a0"/>
    <w:rsid w:val="004C503A"/>
  </w:style>
  <w:style w:type="character" w:customStyle="1" w:styleId="citation-890">
    <w:name w:val="citation-890"/>
    <w:basedOn w:val="a0"/>
    <w:rsid w:val="004C503A"/>
  </w:style>
  <w:style w:type="character" w:customStyle="1" w:styleId="citation-889">
    <w:name w:val="citation-889"/>
    <w:basedOn w:val="a0"/>
    <w:rsid w:val="004C5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4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38723-3D7B-44D4-BD53-1457B05F0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胡邵鈞</dc:creator>
  <cp:keywords/>
  <dc:description/>
  <cp:lastModifiedBy>胡邵鈞</cp:lastModifiedBy>
  <cp:revision>10</cp:revision>
  <dcterms:created xsi:type="dcterms:W3CDTF">2026-03-27T08:33:00Z</dcterms:created>
  <dcterms:modified xsi:type="dcterms:W3CDTF">2026-03-30T02:58:00Z</dcterms:modified>
</cp:coreProperties>
</file>