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8A9AC" w14:textId="42E38AA2" w:rsidR="00C0519A" w:rsidRPr="00141C9E" w:rsidRDefault="00AF0FA2" w:rsidP="00C0519A">
      <w:pPr>
        <w:spacing w:line="440" w:lineRule="exact"/>
        <w:rPr>
          <w:rFonts w:ascii="標楷體" w:eastAsia="標楷體" w:hAnsi="標楷體" w:cs="Times New Roman"/>
          <w:sz w:val="32"/>
          <w:szCs w:val="28"/>
        </w:rPr>
      </w:pPr>
      <w:r w:rsidRPr="00141C9E">
        <w:rPr>
          <w:rFonts w:ascii="標楷體" w:eastAsia="標楷體" w:hAnsi="標楷體" w:cs="Times New Roman" w:hint="eastAsia"/>
          <w:bCs/>
          <w:sz w:val="32"/>
          <w:szCs w:val="36"/>
        </w:rPr>
        <w:t>第</w:t>
      </w:r>
      <w:r w:rsidR="004A4BDB" w:rsidRPr="00141C9E">
        <w:rPr>
          <w:rFonts w:ascii="標楷體" w:eastAsia="標楷體" w:hAnsi="標楷體" w:cs="Times New Roman" w:hint="eastAsia"/>
          <w:bCs/>
          <w:sz w:val="32"/>
          <w:szCs w:val="36"/>
        </w:rPr>
        <w:t>二十二</w:t>
      </w:r>
      <w:r w:rsidRPr="00141C9E">
        <w:rPr>
          <w:rFonts w:ascii="標楷體" w:eastAsia="標楷體" w:hAnsi="標楷體" w:cs="Times New Roman" w:hint="eastAsia"/>
          <w:bCs/>
          <w:sz w:val="32"/>
          <w:szCs w:val="36"/>
        </w:rPr>
        <w:t>條</w:t>
      </w:r>
      <w:r w:rsidR="00C0519A" w:rsidRPr="00141C9E">
        <w:rPr>
          <w:rFonts w:ascii="標楷體" w:eastAsia="標楷體" w:hAnsi="標楷體" w:cs="Times New Roman"/>
          <w:bCs/>
          <w:sz w:val="32"/>
          <w:szCs w:val="36"/>
        </w:rPr>
        <w:t>附件十</w:t>
      </w:r>
      <w:r w:rsidR="004A4BDB" w:rsidRPr="00141C9E">
        <w:rPr>
          <w:rFonts w:ascii="標楷體" w:eastAsia="標楷體" w:hAnsi="標楷體" w:cs="Times New Roman" w:hint="eastAsia"/>
          <w:bCs/>
          <w:sz w:val="32"/>
          <w:szCs w:val="36"/>
        </w:rPr>
        <w:t>一海鳥忌避措施規格</w:t>
      </w:r>
      <w:r w:rsidR="005614D0" w:rsidRPr="00141C9E">
        <w:rPr>
          <w:rFonts w:ascii="標楷體" w:eastAsia="標楷體" w:hAnsi="標楷體" w:cs="Times New Roman" w:hint="eastAsia"/>
          <w:sz w:val="32"/>
          <w:szCs w:val="28"/>
        </w:rPr>
        <w:t>修正規定</w:t>
      </w:r>
    </w:p>
    <w:p w14:paraId="4D42C81E" w14:textId="77777777" w:rsidR="004A4BDB" w:rsidRPr="00141C9E" w:rsidRDefault="004A4BDB" w:rsidP="004A4BDB">
      <w:pPr>
        <w:ind w:leftChars="59" w:left="142"/>
        <w:rPr>
          <w:rFonts w:ascii="Times New Roman" w:eastAsia="標楷體" w:hAnsi="Times New Roman"/>
        </w:rPr>
      </w:pPr>
    </w:p>
    <w:p w14:paraId="573C91D0" w14:textId="694A55E1" w:rsidR="00141C9E" w:rsidRPr="00141C9E" w:rsidRDefault="00141C9E" w:rsidP="00141C9E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 w:hint="eastAsia"/>
        </w:rPr>
        <w:t>附表</w:t>
      </w:r>
      <w:r w:rsidRPr="00141C9E">
        <w:rPr>
          <w:rFonts w:ascii="Times New Roman" w:eastAsia="標楷體" w:hAnsi="Times New Roman" w:hint="eastAsia"/>
        </w:rPr>
        <w:t xml:space="preserve"> </w:t>
      </w:r>
      <w:r w:rsidRPr="00141C9E">
        <w:rPr>
          <w:rFonts w:ascii="Times New Roman" w:eastAsia="標楷體" w:hAnsi="Times New Roman" w:hint="eastAsia"/>
        </w:rPr>
        <w:t>忌避措施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1980"/>
        <w:gridCol w:w="5040"/>
      </w:tblGrid>
      <w:tr w:rsidR="00141C9E" w:rsidRPr="00141C9E" w14:paraId="4A4BAB47" w14:textId="77777777" w:rsidTr="004E76C3">
        <w:trPr>
          <w:trHeight w:val="359"/>
        </w:trPr>
        <w:tc>
          <w:tcPr>
            <w:tcW w:w="1368" w:type="dxa"/>
          </w:tcPr>
          <w:p w14:paraId="4ED4AA86" w14:textId="77777777" w:rsidR="00141C9E" w:rsidRPr="00141C9E" w:rsidRDefault="00141C9E" w:rsidP="004E76C3">
            <w:pPr>
              <w:pStyle w:val="TableParagraph"/>
              <w:spacing w:before="33" w:line="306" w:lineRule="exact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減緩措施</w:t>
            </w:r>
          </w:p>
        </w:tc>
        <w:tc>
          <w:tcPr>
            <w:tcW w:w="1980" w:type="dxa"/>
          </w:tcPr>
          <w:p w14:paraId="4F9EA641" w14:textId="77777777" w:rsidR="00141C9E" w:rsidRPr="00141C9E" w:rsidRDefault="00141C9E" w:rsidP="004E76C3">
            <w:pPr>
              <w:pStyle w:val="TableParagraph"/>
              <w:spacing w:before="33" w:line="306" w:lineRule="exact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描述</w:t>
            </w:r>
          </w:p>
        </w:tc>
        <w:tc>
          <w:tcPr>
            <w:tcW w:w="5040" w:type="dxa"/>
          </w:tcPr>
          <w:p w14:paraId="145CE1B5" w14:textId="77777777" w:rsidR="00141C9E" w:rsidRPr="00141C9E" w:rsidRDefault="00141C9E" w:rsidP="004E76C3">
            <w:pPr>
              <w:pStyle w:val="TableParagraph"/>
              <w:spacing w:before="33" w:line="306" w:lineRule="exact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規格要求</w:t>
            </w:r>
          </w:p>
        </w:tc>
      </w:tr>
      <w:tr w:rsidR="00141C9E" w:rsidRPr="00141C9E" w14:paraId="3E8A28DA" w14:textId="77777777" w:rsidTr="004E76C3">
        <w:trPr>
          <w:trHeight w:val="1799"/>
        </w:trPr>
        <w:tc>
          <w:tcPr>
            <w:tcW w:w="1368" w:type="dxa"/>
          </w:tcPr>
          <w:p w14:paraId="53F6AA6B" w14:textId="77777777" w:rsidR="00141C9E" w:rsidRPr="00141C9E" w:rsidRDefault="00141C9E" w:rsidP="004E76C3">
            <w:pPr>
              <w:pStyle w:val="TableParagraph"/>
              <w:spacing w:before="2" w:line="237" w:lineRule="auto"/>
              <w:ind w:right="283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夜間投繩且甲板燈光減至最暗</w:t>
            </w:r>
          </w:p>
        </w:tc>
        <w:tc>
          <w:tcPr>
            <w:tcW w:w="1980" w:type="dxa"/>
          </w:tcPr>
          <w:p w14:paraId="38F4ACBA" w14:textId="77777777" w:rsidR="00141C9E" w:rsidRPr="00141C9E" w:rsidRDefault="00141C9E" w:rsidP="004E76C3">
            <w:pPr>
              <w:pStyle w:val="TableParagraph"/>
              <w:spacing w:line="244" w:lineRule="auto"/>
              <w:ind w:right="175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pacing w:val="-3"/>
                <w:sz w:val="24"/>
                <w:lang w:eastAsia="zh-TW"/>
              </w:rPr>
              <w:t>海上日出至日落前間禁止投繩。甲板上燈光應維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持在最低的程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 xml:space="preserve"> 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度。</w:t>
            </w:r>
          </w:p>
        </w:tc>
        <w:tc>
          <w:tcPr>
            <w:tcW w:w="5040" w:type="dxa"/>
          </w:tcPr>
          <w:p w14:paraId="1D933DF4" w14:textId="77777777" w:rsidR="00141C9E" w:rsidRPr="00141C9E" w:rsidRDefault="00141C9E" w:rsidP="004E76C3">
            <w:pPr>
              <w:pStyle w:val="TableParagraph"/>
              <w:spacing w:before="2" w:line="237" w:lineRule="auto"/>
              <w:ind w:right="115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海上日出及日落之定義係依航海曆相關緯度、當地時間及日期等表格資料。</w:t>
            </w:r>
          </w:p>
          <w:p w14:paraId="34BC8013" w14:textId="77777777" w:rsidR="00141C9E" w:rsidRPr="00141C9E" w:rsidRDefault="00141C9E" w:rsidP="004E76C3">
            <w:pPr>
              <w:pStyle w:val="TableParagraph"/>
              <w:spacing w:before="3" w:line="237" w:lineRule="auto"/>
              <w:ind w:right="115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最低程度的燈光不應當違反安全與航行之最低標準。</w:t>
            </w:r>
          </w:p>
        </w:tc>
      </w:tr>
      <w:tr w:rsidR="00141C9E" w:rsidRPr="00141C9E" w14:paraId="3341B8FD" w14:textId="77777777" w:rsidTr="004E76C3">
        <w:trPr>
          <w:trHeight w:val="7199"/>
        </w:trPr>
        <w:tc>
          <w:tcPr>
            <w:tcW w:w="1368" w:type="dxa"/>
          </w:tcPr>
          <w:p w14:paraId="554E05C4" w14:textId="77777777" w:rsidR="00141C9E" w:rsidRPr="00141C9E" w:rsidRDefault="00141C9E" w:rsidP="004E76C3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141C9E">
              <w:rPr>
                <w:rFonts w:ascii="Times New Roman" w:hAnsi="Times New Roman" w:cs="Times New Roman"/>
                <w:sz w:val="24"/>
              </w:rPr>
              <w:t>驅鳥繩</w:t>
            </w:r>
          </w:p>
        </w:tc>
        <w:tc>
          <w:tcPr>
            <w:tcW w:w="1980" w:type="dxa"/>
          </w:tcPr>
          <w:p w14:paraId="2D40107D" w14:textId="77777777" w:rsidR="00141C9E" w:rsidRPr="00141C9E" w:rsidRDefault="00141C9E" w:rsidP="004E76C3">
            <w:pPr>
              <w:pStyle w:val="TableParagraph"/>
              <w:spacing w:before="2" w:line="237" w:lineRule="auto"/>
              <w:ind w:right="175"/>
              <w:jc w:val="bot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在整個投繩期間應部署驅鳥繩以防止海鳥接近支繩。</w:t>
            </w:r>
          </w:p>
        </w:tc>
        <w:tc>
          <w:tcPr>
            <w:tcW w:w="5040" w:type="dxa"/>
          </w:tcPr>
          <w:p w14:paraId="0DC54E8D" w14:textId="77777777" w:rsidR="00141C9E" w:rsidRPr="00141C9E" w:rsidRDefault="00141C9E" w:rsidP="004E76C3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對長度大於或等於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35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公尺之漁船：</w:t>
            </w:r>
          </w:p>
          <w:p w14:paraId="6563211B" w14:textId="77777777" w:rsidR="00141C9E" w:rsidRPr="00141C9E" w:rsidRDefault="00141C9E" w:rsidP="00141C9E">
            <w:pPr>
              <w:pStyle w:val="TableParagraph"/>
              <w:numPr>
                <w:ilvl w:val="0"/>
                <w:numId w:val="1"/>
              </w:numPr>
              <w:tabs>
                <w:tab w:val="left" w:pos="592"/>
                <w:tab w:val="left" w:pos="593"/>
              </w:tabs>
              <w:spacing w:before="2" w:line="237" w:lineRule="auto"/>
              <w:ind w:right="114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至少設置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1</w:t>
            </w:r>
            <w:r w:rsidRPr="00141C9E">
              <w:rPr>
                <w:rFonts w:ascii="Times New Roman" w:hAnsi="Times New Roman" w:cs="Times New Roman"/>
                <w:spacing w:val="-12"/>
                <w:sz w:val="24"/>
                <w:lang w:eastAsia="zh-TW"/>
              </w:rPr>
              <w:t>條驅鳥繩，倘實務上可行，鼓勵漁船於海鳥高度密集或活動區域使用第</w:t>
            </w:r>
            <w:r w:rsidRPr="00141C9E">
              <w:rPr>
                <w:rFonts w:ascii="Times New Roman" w:hAnsi="Times New Roman" w:cs="Times New Roman"/>
                <w:spacing w:val="-12"/>
                <w:sz w:val="24"/>
                <w:lang w:eastAsia="zh-TW"/>
              </w:rPr>
              <w:t>2</w:t>
            </w:r>
            <w:r w:rsidRPr="00141C9E">
              <w:rPr>
                <w:rFonts w:ascii="Times New Roman" w:hAnsi="Times New Roman" w:cs="Times New Roman"/>
                <w:spacing w:val="-11"/>
                <w:sz w:val="24"/>
                <w:lang w:eastAsia="zh-TW"/>
              </w:rPr>
              <w:t>條驅鳥竿和驅鳥繩；</w:t>
            </w:r>
            <w:r w:rsidRPr="00141C9E">
              <w:rPr>
                <w:rFonts w:ascii="Times New Roman" w:hAnsi="Times New Roman" w:cs="Times New Roman"/>
                <w:spacing w:val="-16"/>
                <w:sz w:val="24"/>
                <w:lang w:eastAsia="zh-TW"/>
              </w:rPr>
              <w:t>2</w:t>
            </w:r>
            <w:r w:rsidRPr="00141C9E">
              <w:rPr>
                <w:rFonts w:ascii="Times New Roman" w:hAnsi="Times New Roman" w:cs="Times New Roman"/>
                <w:spacing w:val="-4"/>
                <w:sz w:val="24"/>
                <w:lang w:eastAsia="zh-TW"/>
              </w:rPr>
              <w:t>條驅鳥繩應同時設置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在投放主繩的兩邊。</w:t>
            </w:r>
          </w:p>
          <w:p w14:paraId="26F9F741" w14:textId="77777777" w:rsidR="00141C9E" w:rsidRPr="00141C9E" w:rsidRDefault="00141C9E" w:rsidP="00141C9E">
            <w:pPr>
              <w:pStyle w:val="TableParagraph"/>
              <w:numPr>
                <w:ilvl w:val="0"/>
                <w:numId w:val="1"/>
              </w:numPr>
              <w:tabs>
                <w:tab w:val="left" w:pos="592"/>
                <w:tab w:val="left" w:pos="593"/>
              </w:tabs>
              <w:spacing w:before="6" w:line="237" w:lineRule="auto"/>
              <w:ind w:right="247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驅鳥繩之覆空範圍至少需大於或等於</w:t>
            </w:r>
            <w:r w:rsidRPr="00141C9E">
              <w:rPr>
                <w:rFonts w:ascii="Times New Roman" w:hAnsi="Times New Roman" w:cs="Times New Roman"/>
                <w:spacing w:val="-11"/>
                <w:sz w:val="24"/>
                <w:lang w:eastAsia="zh-TW"/>
              </w:rPr>
              <w:t xml:space="preserve">100 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公尺。</w:t>
            </w:r>
          </w:p>
          <w:p w14:paraId="5E8F4869" w14:textId="77777777" w:rsidR="00141C9E" w:rsidRPr="00141C9E" w:rsidRDefault="00141C9E" w:rsidP="00141C9E">
            <w:pPr>
              <w:pStyle w:val="TableParagraph"/>
              <w:numPr>
                <w:ilvl w:val="0"/>
                <w:numId w:val="1"/>
              </w:numPr>
              <w:tabs>
                <w:tab w:val="left" w:pos="592"/>
                <w:tab w:val="left" w:pos="593"/>
              </w:tabs>
              <w:spacing w:before="5" w:line="237" w:lineRule="auto"/>
              <w:ind w:right="129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pacing w:val="-4"/>
                <w:sz w:val="24"/>
                <w:lang w:eastAsia="zh-TW"/>
              </w:rPr>
              <w:t>使用之長飄帶長度需足以在無風情況下達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到海面上。</w:t>
            </w:r>
          </w:p>
          <w:p w14:paraId="39D9CF25" w14:textId="77777777" w:rsidR="00141C9E" w:rsidRPr="00141C9E" w:rsidRDefault="00141C9E" w:rsidP="00141C9E">
            <w:pPr>
              <w:pStyle w:val="TableParagraph"/>
              <w:numPr>
                <w:ilvl w:val="0"/>
                <w:numId w:val="1"/>
              </w:numPr>
              <w:tabs>
                <w:tab w:val="left" w:pos="592"/>
                <w:tab w:val="left" w:pos="593"/>
              </w:tabs>
              <w:spacing w:before="2" w:line="237" w:lineRule="auto"/>
              <w:ind w:left="112" w:right="1207" w:firstLine="0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長飄帶之間距不得超過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5</w:t>
            </w:r>
            <w:r w:rsidRPr="00141C9E">
              <w:rPr>
                <w:rFonts w:ascii="Times New Roman" w:hAnsi="Times New Roman" w:cs="Times New Roman"/>
                <w:spacing w:val="-10"/>
                <w:sz w:val="24"/>
                <w:lang w:eastAsia="zh-TW"/>
              </w:rPr>
              <w:t>公尺。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對長度小於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35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公尺之漁船：</w:t>
            </w:r>
          </w:p>
          <w:p w14:paraId="73EC809A" w14:textId="77777777" w:rsidR="00141C9E" w:rsidRPr="00141C9E" w:rsidRDefault="00141C9E" w:rsidP="00141C9E">
            <w:pPr>
              <w:pStyle w:val="TableParagraph"/>
              <w:numPr>
                <w:ilvl w:val="0"/>
                <w:numId w:val="1"/>
              </w:numPr>
              <w:tabs>
                <w:tab w:val="left" w:pos="592"/>
                <w:tab w:val="left" w:pos="593"/>
              </w:tabs>
              <w:spacing w:before="1"/>
              <w:ind w:hanging="483"/>
              <w:rPr>
                <w:rFonts w:ascii="Times New Roman" w:hAnsi="Times New Roman" w:cs="Times New Roman"/>
                <w:sz w:val="24"/>
              </w:rPr>
            </w:pPr>
            <w:r w:rsidRPr="00141C9E">
              <w:rPr>
                <w:rFonts w:ascii="Times New Roman" w:hAnsi="Times New Roman" w:cs="Times New Roman"/>
                <w:sz w:val="24"/>
              </w:rPr>
              <w:t>至少設置</w:t>
            </w:r>
            <w:r w:rsidRPr="00141C9E">
              <w:rPr>
                <w:rFonts w:ascii="Times New Roman" w:hAnsi="Times New Roman" w:cs="Times New Roman"/>
                <w:sz w:val="24"/>
              </w:rPr>
              <w:t>1</w:t>
            </w:r>
            <w:r w:rsidRPr="00141C9E">
              <w:rPr>
                <w:rFonts w:ascii="Times New Roman" w:hAnsi="Times New Roman" w:cs="Times New Roman"/>
                <w:sz w:val="24"/>
              </w:rPr>
              <w:t>條驅鳥繩。</w:t>
            </w:r>
          </w:p>
          <w:p w14:paraId="530E7CB2" w14:textId="77777777" w:rsidR="00141C9E" w:rsidRPr="00141C9E" w:rsidRDefault="00141C9E" w:rsidP="00141C9E">
            <w:pPr>
              <w:pStyle w:val="TableParagraph"/>
              <w:numPr>
                <w:ilvl w:val="0"/>
                <w:numId w:val="1"/>
              </w:numPr>
              <w:tabs>
                <w:tab w:val="left" w:pos="592"/>
                <w:tab w:val="left" w:pos="593"/>
              </w:tabs>
              <w:ind w:hanging="483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覆空範圍至少需大於或等於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75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公尺。</w:t>
            </w:r>
          </w:p>
          <w:p w14:paraId="6DD2901A" w14:textId="77777777" w:rsidR="00141C9E" w:rsidRPr="00141C9E" w:rsidRDefault="00141C9E" w:rsidP="00141C9E">
            <w:pPr>
              <w:pStyle w:val="TableParagraph"/>
              <w:numPr>
                <w:ilvl w:val="0"/>
                <w:numId w:val="1"/>
              </w:numPr>
              <w:tabs>
                <w:tab w:val="left" w:pos="592"/>
                <w:tab w:val="left" w:pos="593"/>
              </w:tabs>
              <w:spacing w:before="5" w:line="237" w:lineRule="auto"/>
              <w:ind w:right="-15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使用長飄帶或短飄帶（長度需大於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1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公尺）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 xml:space="preserve"> 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之放置間距如下：</w:t>
            </w:r>
          </w:p>
          <w:p w14:paraId="41EF34AC" w14:textId="77777777" w:rsidR="00141C9E" w:rsidRPr="00141C9E" w:rsidRDefault="00141C9E" w:rsidP="004E76C3">
            <w:pPr>
              <w:pStyle w:val="TableParagraph"/>
              <w:ind w:left="592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o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短飄帶：間距不超過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2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公尺。</w:t>
            </w:r>
          </w:p>
          <w:p w14:paraId="10C494D0" w14:textId="77777777" w:rsidR="00141C9E" w:rsidRPr="00141C9E" w:rsidRDefault="00141C9E" w:rsidP="004E76C3">
            <w:pPr>
              <w:pStyle w:val="TableParagraph"/>
              <w:spacing w:before="1"/>
              <w:ind w:left="1672" w:right="-15" w:hanging="1080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o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長飄帶：前端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55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公尺之驅鳥繩間距不超過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5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公尺。</w:t>
            </w:r>
          </w:p>
          <w:p w14:paraId="608D995F" w14:textId="77777777" w:rsidR="00141C9E" w:rsidRPr="00141C9E" w:rsidRDefault="00141C9E" w:rsidP="004E76C3">
            <w:pPr>
              <w:pStyle w:val="TableParagraph"/>
              <w:spacing w:before="27" w:line="256" w:lineRule="auto"/>
              <w:ind w:right="115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驅鳥繩設計與部署額外的指導方針詳如本決議附錄。</w:t>
            </w:r>
          </w:p>
        </w:tc>
      </w:tr>
      <w:tr w:rsidR="00141C9E" w:rsidRPr="00141C9E" w14:paraId="237E6634" w14:textId="77777777" w:rsidTr="004E76C3">
        <w:trPr>
          <w:trHeight w:val="1439"/>
        </w:trPr>
        <w:tc>
          <w:tcPr>
            <w:tcW w:w="1368" w:type="dxa"/>
          </w:tcPr>
          <w:p w14:paraId="7B6295D4" w14:textId="77777777" w:rsidR="00141C9E" w:rsidRPr="00141C9E" w:rsidRDefault="00141C9E" w:rsidP="004E76C3">
            <w:pPr>
              <w:pStyle w:val="TableParagraph"/>
              <w:spacing w:line="333" w:lineRule="exact"/>
              <w:rPr>
                <w:rFonts w:ascii="Times New Roman" w:hAnsi="Times New Roman" w:cs="Times New Roman"/>
                <w:sz w:val="24"/>
              </w:rPr>
            </w:pPr>
            <w:r w:rsidRPr="00141C9E">
              <w:rPr>
                <w:rFonts w:ascii="Times New Roman" w:hAnsi="Times New Roman" w:cs="Times New Roman" w:hint="eastAsia"/>
                <w:sz w:val="24"/>
                <w:lang w:eastAsia="zh-TW"/>
              </w:rPr>
              <w:t>支</w:t>
            </w:r>
            <w:r w:rsidRPr="00141C9E">
              <w:rPr>
                <w:rFonts w:ascii="Times New Roman" w:hAnsi="Times New Roman" w:cs="Times New Roman"/>
                <w:sz w:val="24"/>
              </w:rPr>
              <w:t>繩加重</w:t>
            </w:r>
          </w:p>
        </w:tc>
        <w:tc>
          <w:tcPr>
            <w:tcW w:w="1980" w:type="dxa"/>
          </w:tcPr>
          <w:p w14:paraId="101AD0A4" w14:textId="77777777" w:rsidR="00141C9E" w:rsidRPr="00141C9E" w:rsidRDefault="00141C9E" w:rsidP="004E76C3">
            <w:pPr>
              <w:pStyle w:val="TableParagraph"/>
              <w:spacing w:before="2" w:line="237" w:lineRule="auto"/>
              <w:ind w:right="175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投繩前在支繩上部署加重物。</w:t>
            </w:r>
          </w:p>
        </w:tc>
        <w:tc>
          <w:tcPr>
            <w:tcW w:w="5040" w:type="dxa"/>
          </w:tcPr>
          <w:p w14:paraId="6FC2E955" w14:textId="77777777" w:rsidR="00141C9E" w:rsidRPr="00141C9E" w:rsidRDefault="00141C9E" w:rsidP="004E76C3">
            <w:pPr>
              <w:pStyle w:val="TableParagraph"/>
              <w:spacing w:before="112" w:line="307" w:lineRule="auto"/>
              <w:ind w:right="158"/>
              <w:jc w:val="both"/>
              <w:rPr>
                <w:rFonts w:ascii="Times New Roman" w:hAnsi="Times New Roman" w:cs="Times New Roman"/>
                <w:spacing w:val="-36"/>
                <w:position w:val="1"/>
                <w:sz w:val="24"/>
                <w:lang w:eastAsia="zh-TW"/>
              </w:rPr>
            </w:pPr>
            <w:r w:rsidRPr="00141C9E">
              <w:rPr>
                <w:rFonts w:ascii="Times New Roman" w:hAnsi="Times New Roman" w:cs="Times New Roman"/>
                <w:position w:val="1"/>
                <w:sz w:val="24"/>
                <w:lang w:eastAsia="zh-TW"/>
              </w:rPr>
              <w:t>釣鉤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1</w:t>
            </w:r>
            <w:r w:rsidRPr="00141C9E">
              <w:rPr>
                <w:rFonts w:ascii="Times New Roman" w:hAnsi="Times New Roman" w:cs="Times New Roman"/>
                <w:spacing w:val="-12"/>
                <w:position w:val="1"/>
                <w:sz w:val="24"/>
                <w:lang w:eastAsia="zh-TW"/>
              </w:rPr>
              <w:t>公尺內附加之重量應超過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45</w:t>
            </w:r>
            <w:r w:rsidRPr="00141C9E">
              <w:rPr>
                <w:rFonts w:ascii="Times New Roman" w:hAnsi="Times New Roman" w:cs="Times New Roman"/>
                <w:spacing w:val="-10"/>
                <w:position w:val="1"/>
                <w:sz w:val="24"/>
                <w:lang w:eastAsia="zh-TW"/>
              </w:rPr>
              <w:t>公克，或；</w:t>
            </w:r>
            <w:r w:rsidRPr="00141C9E">
              <w:rPr>
                <w:rFonts w:ascii="Times New Roman" w:hAnsi="Times New Roman" w:cs="Times New Roman"/>
                <w:spacing w:val="-6"/>
                <w:position w:val="1"/>
                <w:sz w:val="24"/>
                <w:lang w:eastAsia="zh-TW"/>
              </w:rPr>
              <w:t>釣鉤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3.5</w:t>
            </w:r>
            <w:r w:rsidRPr="00141C9E">
              <w:rPr>
                <w:rFonts w:ascii="Times New Roman" w:hAnsi="Times New Roman" w:cs="Times New Roman"/>
                <w:spacing w:val="-14"/>
                <w:position w:val="1"/>
                <w:sz w:val="24"/>
                <w:lang w:eastAsia="zh-TW"/>
              </w:rPr>
              <w:t>公尺內附加之重量應超過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60</w:t>
            </w:r>
            <w:r w:rsidRPr="00141C9E">
              <w:rPr>
                <w:rFonts w:ascii="Times New Roman" w:hAnsi="Times New Roman" w:cs="Times New Roman"/>
                <w:spacing w:val="-36"/>
                <w:position w:val="1"/>
                <w:sz w:val="24"/>
                <w:lang w:eastAsia="zh-TW"/>
              </w:rPr>
              <w:t>公克，或</w:t>
            </w:r>
            <w:r w:rsidRPr="00141C9E">
              <w:rPr>
                <w:rFonts w:ascii="Times New Roman" w:hAnsi="Times New Roman" w:cs="Times New Roman" w:hint="eastAsia"/>
                <w:spacing w:val="-36"/>
                <w:position w:val="1"/>
                <w:sz w:val="24"/>
                <w:lang w:eastAsia="zh-TW"/>
              </w:rPr>
              <w:t>；</w:t>
            </w:r>
            <w:r w:rsidRPr="00141C9E">
              <w:rPr>
                <w:rFonts w:ascii="Times New Roman" w:hAnsi="Times New Roman" w:cs="Times New Roman"/>
                <w:spacing w:val="-20"/>
                <w:sz w:val="24"/>
                <w:lang w:eastAsia="zh-TW"/>
              </w:rPr>
              <w:t>釣鉤</w:t>
            </w:r>
            <w:r w:rsidRPr="00141C9E">
              <w:rPr>
                <w:rFonts w:ascii="Times New Roman" w:hAnsi="Times New Roman" w:cs="Times New Roman"/>
                <w:spacing w:val="-20"/>
                <w:sz w:val="24"/>
                <w:lang w:eastAsia="zh-TW"/>
              </w:rPr>
              <w:t xml:space="preserve"> 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4</w:t>
            </w:r>
            <w:r w:rsidRPr="00141C9E">
              <w:rPr>
                <w:rFonts w:ascii="Times New Roman" w:hAnsi="Times New Roman" w:cs="Times New Roman"/>
                <w:spacing w:val="-5"/>
                <w:sz w:val="24"/>
                <w:lang w:eastAsia="zh-TW"/>
              </w:rPr>
              <w:t>公尺內附加之重量應超過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98</w:t>
            </w:r>
            <w:r w:rsidRPr="00141C9E">
              <w:rPr>
                <w:rFonts w:ascii="Times New Roman" w:hAnsi="Times New Roman" w:cs="Times New Roman"/>
                <w:sz w:val="24"/>
                <w:lang w:eastAsia="zh-TW"/>
              </w:rPr>
              <w:t>公克。</w:t>
            </w:r>
          </w:p>
        </w:tc>
      </w:tr>
    </w:tbl>
    <w:p w14:paraId="63CD80D0" w14:textId="5DD390DD" w:rsidR="00141C9E" w:rsidRPr="00141C9E" w:rsidRDefault="00141C9E" w:rsidP="00141C9E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</w:p>
    <w:p w14:paraId="18695E4E" w14:textId="766AE718" w:rsidR="00141C9E" w:rsidRPr="00141C9E" w:rsidRDefault="00141C9E" w:rsidP="00141C9E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</w:p>
    <w:p w14:paraId="7E307F0C" w14:textId="77777777" w:rsidR="00141C9E" w:rsidRPr="00141C9E" w:rsidRDefault="00141C9E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br w:type="page"/>
      </w:r>
    </w:p>
    <w:p w14:paraId="2586EEF7" w14:textId="77777777" w:rsidR="00141C9E" w:rsidRPr="00141C9E" w:rsidRDefault="00141C9E" w:rsidP="00141C9E">
      <w:pPr>
        <w:ind w:leftChars="59" w:left="142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lastRenderedPageBreak/>
        <w:t>附錄</w:t>
      </w:r>
    </w:p>
    <w:p w14:paraId="448A3A18" w14:textId="77777777" w:rsidR="00141C9E" w:rsidRPr="00141C9E" w:rsidRDefault="00141C9E" w:rsidP="00141C9E">
      <w:pPr>
        <w:ind w:leftChars="59" w:left="142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設計與部署驅鳥繩之補充指導方針</w:t>
      </w:r>
    </w:p>
    <w:p w14:paraId="05E385B0" w14:textId="77777777" w:rsidR="00141C9E" w:rsidRPr="00141C9E" w:rsidRDefault="00141C9E" w:rsidP="00141C9E">
      <w:pPr>
        <w:ind w:leftChars="59" w:left="142"/>
        <w:rPr>
          <w:rFonts w:ascii="Times New Roman" w:eastAsia="標楷體" w:hAnsi="Times New Roman"/>
        </w:rPr>
      </w:pPr>
    </w:p>
    <w:p w14:paraId="048C51AF" w14:textId="77777777" w:rsidR="00141C9E" w:rsidRPr="00141C9E" w:rsidRDefault="00141C9E" w:rsidP="00141C9E">
      <w:pPr>
        <w:ind w:leftChars="59" w:left="142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前言</w:t>
      </w:r>
    </w:p>
    <w:p w14:paraId="16266884" w14:textId="77777777" w:rsidR="00141C9E" w:rsidRPr="00141C9E" w:rsidRDefault="00141C9E" w:rsidP="00141C9E">
      <w:pPr>
        <w:ind w:leftChars="59" w:left="142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設置驅鳥繩之最低技術標準詳見本決議</w:t>
      </w:r>
      <w:r w:rsidRPr="00141C9E">
        <w:rPr>
          <w:rFonts w:ascii="Times New Roman" w:eastAsia="標楷體" w:hAnsi="Times New Roman" w:hint="eastAsia"/>
        </w:rPr>
        <w:t>表</w:t>
      </w:r>
      <w:r w:rsidRPr="00141C9E">
        <w:rPr>
          <w:rFonts w:ascii="Times New Roman" w:eastAsia="標楷體" w:hAnsi="Times New Roman"/>
        </w:rPr>
        <w:t>，不在此複述。此補充指導方針係為協助延繩釣漁船準備及執行驅鳥繩規範所設計。儘管此指導方針內容已相當詳盡，但仍鼓勵透過實驗改善本決議</w:t>
      </w:r>
      <w:r w:rsidRPr="00141C9E">
        <w:rPr>
          <w:rFonts w:ascii="Times New Roman" w:eastAsia="標楷體" w:hAnsi="Times New Roman" w:hint="eastAsia"/>
        </w:rPr>
        <w:t>附表</w:t>
      </w:r>
      <w:r w:rsidRPr="00141C9E">
        <w:rPr>
          <w:rFonts w:ascii="Times New Roman" w:eastAsia="標楷體" w:hAnsi="Times New Roman"/>
        </w:rPr>
        <w:t>所規定驅鳥繩之功效。此指導方針已考量到環境及作業上之可變因素，如天氣狀況、下鈎速度及船舶大小，此等因素皆影響驅鳥繩對防範海鳥啄食餌料之績效及設計。驅鳥繩之設計及使用可考量此類可變因素而改變，但不得損及驅鳥繩的效能。驅鳥繩設計之持續改善是可以預期的，因此未來本指導方針亦應加以檢討。</w:t>
      </w:r>
    </w:p>
    <w:p w14:paraId="5A843D6F" w14:textId="77777777" w:rsidR="00141C9E" w:rsidRPr="00141C9E" w:rsidRDefault="00141C9E" w:rsidP="00141C9E">
      <w:pPr>
        <w:ind w:leftChars="59" w:left="142"/>
        <w:rPr>
          <w:rFonts w:ascii="Times New Roman" w:eastAsia="標楷體" w:hAnsi="Times New Roman"/>
        </w:rPr>
      </w:pPr>
    </w:p>
    <w:p w14:paraId="1E35AEFB" w14:textId="77777777" w:rsidR="00141C9E" w:rsidRPr="00141C9E" w:rsidRDefault="00141C9E" w:rsidP="00141C9E">
      <w:pPr>
        <w:ind w:leftChars="59" w:left="142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驅鳥繩之設計（如圖）</w:t>
      </w:r>
    </w:p>
    <w:p w14:paraId="0C869CFE" w14:textId="77777777" w:rsidR="00141C9E" w:rsidRPr="00141C9E" w:rsidRDefault="00141C9E" w:rsidP="00141C9E">
      <w:pPr>
        <w:pStyle w:val="a7"/>
        <w:numPr>
          <w:ilvl w:val="0"/>
          <w:numId w:val="5"/>
        </w:numPr>
        <w:suppressAutoHyphens w:val="0"/>
        <w:autoSpaceDN/>
        <w:ind w:leftChars="0"/>
        <w:textAlignment w:val="auto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水面下之驅鳥繩部份繫上適當的拖曳設備，可增加覆空範圍。水面上之繩段部份應夠輕，致無法預測繩索之移動，避免海鳥熟悉該移動，同時也應當夠重，避免繩索被風吹偏。</w:t>
      </w:r>
    </w:p>
    <w:p w14:paraId="23416C88" w14:textId="77777777" w:rsidR="00141C9E" w:rsidRPr="00141C9E" w:rsidRDefault="00141C9E" w:rsidP="00141C9E">
      <w:pPr>
        <w:pStyle w:val="a7"/>
        <w:numPr>
          <w:ilvl w:val="0"/>
          <w:numId w:val="5"/>
        </w:numPr>
        <w:suppressAutoHyphens w:val="0"/>
        <w:autoSpaceDN/>
        <w:ind w:leftChars="0"/>
        <w:textAlignment w:val="auto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驅鳥繩應最好以堅固之筒形轉環繫於船身，以降低繩索糾纏。</w:t>
      </w:r>
    </w:p>
    <w:p w14:paraId="1FED4FFC" w14:textId="77777777" w:rsidR="00141C9E" w:rsidRPr="00141C9E" w:rsidRDefault="00141C9E" w:rsidP="00141C9E">
      <w:pPr>
        <w:pStyle w:val="a7"/>
        <w:numPr>
          <w:ilvl w:val="0"/>
          <w:numId w:val="5"/>
        </w:numPr>
        <w:suppressAutoHyphens w:val="0"/>
        <w:autoSpaceDN/>
        <w:ind w:leftChars="0"/>
        <w:textAlignment w:val="auto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飄帶應使用顏色鮮豔且能產生不可預測及栩栩如生動作之材料製作</w:t>
      </w:r>
      <w:r w:rsidRPr="00141C9E">
        <w:rPr>
          <w:rFonts w:ascii="Times New Roman" w:eastAsia="標楷體" w:hAnsi="Times New Roman"/>
        </w:rPr>
        <w:t>(</w:t>
      </w:r>
      <w:r w:rsidRPr="00141C9E">
        <w:rPr>
          <w:rFonts w:ascii="Times New Roman" w:eastAsia="標楷體" w:hAnsi="Times New Roman"/>
        </w:rPr>
        <w:t>例如堅固並套上紅色聚氨酯橡膠管之細繩</w:t>
      </w:r>
      <w:r w:rsidRPr="00141C9E">
        <w:rPr>
          <w:rFonts w:ascii="Times New Roman" w:eastAsia="標楷體" w:hAnsi="Times New Roman"/>
        </w:rPr>
        <w:t>)</w:t>
      </w:r>
      <w:r w:rsidRPr="00141C9E">
        <w:rPr>
          <w:rFonts w:ascii="Times New Roman" w:eastAsia="標楷體" w:hAnsi="Times New Roman"/>
        </w:rPr>
        <w:t>，懸掛於堅固三向轉環</w:t>
      </w:r>
      <w:r w:rsidRPr="00141C9E">
        <w:rPr>
          <w:rFonts w:ascii="Times New Roman" w:eastAsia="標楷體" w:hAnsi="Times New Roman"/>
        </w:rPr>
        <w:t>(</w:t>
      </w:r>
      <w:r w:rsidRPr="00141C9E">
        <w:rPr>
          <w:rFonts w:ascii="Times New Roman" w:eastAsia="標楷體" w:hAnsi="Times New Roman"/>
        </w:rPr>
        <w:t>降低糾纏機率</w:t>
      </w:r>
      <w:r w:rsidRPr="00141C9E">
        <w:rPr>
          <w:rFonts w:ascii="Times New Roman" w:eastAsia="標楷體" w:hAnsi="Times New Roman"/>
        </w:rPr>
        <w:t>)</w:t>
      </w:r>
      <w:r w:rsidRPr="00141C9E">
        <w:rPr>
          <w:rFonts w:ascii="Times New Roman" w:eastAsia="標楷體" w:hAnsi="Times New Roman"/>
        </w:rPr>
        <w:t>並繫於驅鳥繩上。</w:t>
      </w:r>
    </w:p>
    <w:p w14:paraId="6E224153" w14:textId="77777777" w:rsidR="00141C9E" w:rsidRPr="00141C9E" w:rsidRDefault="00141C9E" w:rsidP="00141C9E">
      <w:pPr>
        <w:pStyle w:val="a7"/>
        <w:numPr>
          <w:ilvl w:val="0"/>
          <w:numId w:val="5"/>
        </w:numPr>
        <w:suppressAutoHyphens w:val="0"/>
        <w:autoSpaceDN/>
        <w:ind w:leftChars="0"/>
        <w:textAlignment w:val="auto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每組飄帶應由兩條或更多的裙帶組成。</w:t>
      </w:r>
    </w:p>
    <w:p w14:paraId="3330F1A2" w14:textId="77777777" w:rsidR="00141C9E" w:rsidRPr="00141C9E" w:rsidRDefault="00141C9E" w:rsidP="00141C9E">
      <w:pPr>
        <w:pStyle w:val="a7"/>
        <w:numPr>
          <w:ilvl w:val="0"/>
          <w:numId w:val="5"/>
        </w:numPr>
        <w:suppressAutoHyphens w:val="0"/>
        <w:autoSpaceDN/>
        <w:ind w:leftChars="0"/>
        <w:textAlignment w:val="auto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每對飄帶應當用夾子使之可拆卸，讓繩索之裝載更具效率。</w:t>
      </w:r>
    </w:p>
    <w:p w14:paraId="77B29DA7" w14:textId="77777777" w:rsidR="00141C9E" w:rsidRPr="00141C9E" w:rsidRDefault="00141C9E" w:rsidP="00141C9E">
      <w:pPr>
        <w:ind w:leftChars="59" w:left="142"/>
        <w:rPr>
          <w:rFonts w:ascii="Times New Roman" w:eastAsia="標楷體" w:hAnsi="Times New Roman"/>
        </w:rPr>
      </w:pPr>
    </w:p>
    <w:p w14:paraId="1A570CA7" w14:textId="77777777" w:rsidR="00141C9E" w:rsidRPr="00141C9E" w:rsidRDefault="00141C9E" w:rsidP="00141C9E">
      <w:pPr>
        <w:ind w:leftChars="59" w:left="142"/>
        <w:rPr>
          <w:rFonts w:ascii="Times New Roman" w:eastAsia="標楷體" w:hAnsi="Times New Roman"/>
        </w:rPr>
      </w:pPr>
      <w:r w:rsidRPr="00141C9E">
        <w:rPr>
          <w:rFonts w:ascii="Times New Roman" w:eastAsia="標楷體" w:hAnsi="Times New Roman"/>
        </w:rPr>
        <w:t>驅鳥繩之部署</w:t>
      </w:r>
    </w:p>
    <w:p w14:paraId="1EF33116" w14:textId="2FCBB0B5" w:rsidR="003D50A6" w:rsidRDefault="00141C9E" w:rsidP="003D50A6">
      <w:pPr>
        <w:pStyle w:val="a7"/>
        <w:numPr>
          <w:ilvl w:val="0"/>
          <w:numId w:val="8"/>
        </w:numPr>
        <w:ind w:leftChars="0" w:left="499" w:hanging="357"/>
        <w:rPr>
          <w:rFonts w:ascii="Times New Roman" w:eastAsia="標楷體" w:hAnsi="Times New Roman"/>
        </w:rPr>
      </w:pPr>
      <w:r w:rsidRPr="003D50A6">
        <w:rPr>
          <w:rFonts w:ascii="Times New Roman" w:eastAsia="標楷體" w:hAnsi="Times New Roman"/>
        </w:rPr>
        <w:t>驅鳥繩應懸掛於船上之固定桅桿上。鳥繩桿設置高度越高越好，使驅鳥繩能在與船尾保持適當距離下保護魚餌，且不會與漁具糾結。鳥繩桿高度越高越能保護魚餌。舉例來說，高於水面</w:t>
      </w:r>
      <w:r w:rsidRPr="003D50A6">
        <w:rPr>
          <w:rFonts w:ascii="Times New Roman" w:eastAsia="標楷體" w:hAnsi="Times New Roman"/>
        </w:rPr>
        <w:t>7</w:t>
      </w:r>
      <w:r w:rsidRPr="003D50A6">
        <w:rPr>
          <w:rFonts w:ascii="Times New Roman" w:eastAsia="標楷體" w:hAnsi="Times New Roman"/>
        </w:rPr>
        <w:t>公尺之鳥繩可保護約</w:t>
      </w:r>
      <w:r w:rsidRPr="003D50A6">
        <w:rPr>
          <w:rFonts w:ascii="Times New Roman" w:eastAsia="標楷體" w:hAnsi="Times New Roman"/>
        </w:rPr>
        <w:t>100</w:t>
      </w:r>
      <w:r w:rsidRPr="003D50A6">
        <w:rPr>
          <w:rFonts w:ascii="Times New Roman" w:eastAsia="標楷體" w:hAnsi="Times New Roman"/>
        </w:rPr>
        <w:t>公尺遠之餌料。</w:t>
      </w:r>
    </w:p>
    <w:p w14:paraId="42331006" w14:textId="77777777" w:rsidR="003D50A6" w:rsidRDefault="00141C9E" w:rsidP="003D50A6">
      <w:pPr>
        <w:pStyle w:val="a7"/>
        <w:numPr>
          <w:ilvl w:val="0"/>
          <w:numId w:val="8"/>
        </w:numPr>
        <w:ind w:leftChars="0" w:left="499" w:hanging="357"/>
        <w:rPr>
          <w:rFonts w:ascii="Times New Roman" w:eastAsia="標楷體" w:hAnsi="Times New Roman"/>
        </w:rPr>
      </w:pPr>
      <w:r w:rsidRPr="003D50A6">
        <w:rPr>
          <w:rFonts w:ascii="Times New Roman" w:eastAsia="標楷體" w:hAnsi="Times New Roman"/>
        </w:rPr>
        <w:t>倘漁船僅使用一條驅鳥繩，驅鳥繩應部署於沈降餌的上風處。倘餌鈎置於船尾外側，繫於船身之飄帶繩應位在投餌側船舷外數公尺。倘漁船使用兩條驅鳥繩，餌鈎應部署於兩條飄帶覆空區域內。</w:t>
      </w:r>
    </w:p>
    <w:p w14:paraId="3090239E" w14:textId="77777777" w:rsidR="003D50A6" w:rsidRDefault="00141C9E" w:rsidP="003D50A6">
      <w:pPr>
        <w:pStyle w:val="a7"/>
        <w:numPr>
          <w:ilvl w:val="0"/>
          <w:numId w:val="8"/>
        </w:numPr>
        <w:ind w:leftChars="0" w:left="499" w:hanging="357"/>
        <w:rPr>
          <w:rFonts w:ascii="Times New Roman" w:eastAsia="標楷體" w:hAnsi="Times New Roman"/>
        </w:rPr>
      </w:pPr>
      <w:r w:rsidRPr="003D50A6">
        <w:rPr>
          <w:rFonts w:ascii="Times New Roman" w:eastAsia="標楷體" w:hAnsi="Times New Roman"/>
        </w:rPr>
        <w:t>鼓勵部署多組之驅鳥繩，以加強防範海鳥啄食餌料。</w:t>
      </w:r>
    </w:p>
    <w:p w14:paraId="6BC2C9E2" w14:textId="77777777" w:rsidR="003D50A6" w:rsidRDefault="00141C9E" w:rsidP="003D50A6">
      <w:pPr>
        <w:pStyle w:val="a7"/>
        <w:numPr>
          <w:ilvl w:val="0"/>
          <w:numId w:val="8"/>
        </w:numPr>
        <w:ind w:leftChars="0" w:left="499" w:hanging="357"/>
        <w:rPr>
          <w:rFonts w:ascii="Times New Roman" w:eastAsia="標楷體" w:hAnsi="Times New Roman"/>
        </w:rPr>
      </w:pPr>
      <w:r w:rsidRPr="003D50A6">
        <w:rPr>
          <w:rFonts w:ascii="Times New Roman" w:eastAsia="標楷體" w:hAnsi="Times New Roman"/>
        </w:rPr>
        <w:t>由於驅鳥繩可能會斷裂及打結，因此船上應攜帶備用鳥繩，以替換損壞之繩索並確保漁船作業不間斷。倘延繩釣浮球與水中之飄帶繩糾結或纏繞，應讓飄帶繩脫離驅鳥繩，俾安全及作業問題可降至最低。</w:t>
      </w:r>
    </w:p>
    <w:p w14:paraId="2AEF86F1" w14:textId="77777777" w:rsidR="003D50A6" w:rsidRDefault="00141C9E" w:rsidP="003D50A6">
      <w:pPr>
        <w:pStyle w:val="a7"/>
        <w:numPr>
          <w:ilvl w:val="0"/>
          <w:numId w:val="8"/>
        </w:numPr>
        <w:ind w:leftChars="0" w:left="499" w:hanging="357"/>
        <w:rPr>
          <w:rFonts w:ascii="Times New Roman" w:eastAsia="標楷體" w:hAnsi="Times New Roman"/>
        </w:rPr>
      </w:pPr>
      <w:r w:rsidRPr="003D50A6">
        <w:rPr>
          <w:rFonts w:ascii="Times New Roman" w:eastAsia="標楷體" w:hAnsi="Times New Roman"/>
        </w:rPr>
        <w:t>當漁民使用投餌機（</w:t>
      </w:r>
      <w:r w:rsidRPr="003D50A6">
        <w:rPr>
          <w:rFonts w:ascii="Times New Roman" w:eastAsia="標楷體" w:hAnsi="Times New Roman"/>
        </w:rPr>
        <w:t>BCM</w:t>
      </w:r>
      <w:r w:rsidRPr="003D50A6">
        <w:rPr>
          <w:rFonts w:ascii="Times New Roman" w:eastAsia="標楷體" w:hAnsi="Times New Roman"/>
        </w:rPr>
        <w:t>）時，應以下列方式確保驅鳥繩及投餌機之協調性：</w:t>
      </w:r>
      <w:r w:rsidRPr="003D50A6">
        <w:rPr>
          <w:rFonts w:ascii="Times New Roman" w:eastAsia="標楷體" w:hAnsi="Times New Roman"/>
        </w:rPr>
        <w:t xml:space="preserve">i) </w:t>
      </w:r>
      <w:r w:rsidRPr="003D50A6">
        <w:rPr>
          <w:rFonts w:ascii="Times New Roman" w:eastAsia="標楷體" w:hAnsi="Times New Roman"/>
        </w:rPr>
        <w:t>確保</w:t>
      </w:r>
      <w:r w:rsidRPr="003D50A6">
        <w:rPr>
          <w:rFonts w:ascii="Times New Roman" w:eastAsia="標楷體" w:hAnsi="Times New Roman"/>
        </w:rPr>
        <w:t xml:space="preserve">BCM </w:t>
      </w:r>
      <w:r w:rsidRPr="003D50A6">
        <w:rPr>
          <w:rFonts w:ascii="Times New Roman" w:eastAsia="標楷體" w:hAnsi="Times New Roman"/>
        </w:rPr>
        <w:t>直接投餌至驅鳥繩保護範圍內，及</w:t>
      </w:r>
      <w:r w:rsidRPr="003D50A6">
        <w:rPr>
          <w:rFonts w:ascii="Times New Roman" w:eastAsia="標楷體" w:hAnsi="Times New Roman"/>
        </w:rPr>
        <w:t xml:space="preserve">ii) </w:t>
      </w:r>
      <w:r w:rsidRPr="003D50A6">
        <w:rPr>
          <w:rFonts w:ascii="Times New Roman" w:eastAsia="標楷體" w:hAnsi="Times New Roman"/>
        </w:rPr>
        <w:t>當使用一台可投餌至左右兩舷之</w:t>
      </w:r>
      <w:r w:rsidRPr="003D50A6">
        <w:rPr>
          <w:rFonts w:ascii="Times New Roman" w:eastAsia="標楷體" w:hAnsi="Times New Roman"/>
        </w:rPr>
        <w:t>BCM</w:t>
      </w:r>
      <w:r w:rsidRPr="003D50A6">
        <w:rPr>
          <w:rFonts w:ascii="Times New Roman" w:eastAsia="標楷體" w:hAnsi="Times New Roman"/>
        </w:rPr>
        <w:t>（或多台</w:t>
      </w:r>
      <w:r w:rsidRPr="003D50A6">
        <w:rPr>
          <w:rFonts w:ascii="Times New Roman" w:eastAsia="標楷體" w:hAnsi="Times New Roman"/>
        </w:rPr>
        <w:t xml:space="preserve"> BCM</w:t>
      </w:r>
      <w:r w:rsidRPr="003D50A6">
        <w:rPr>
          <w:rFonts w:ascii="Times New Roman" w:eastAsia="標楷體" w:hAnsi="Times New Roman"/>
        </w:rPr>
        <w:t>）時，應當使用</w:t>
      </w:r>
      <w:r w:rsidRPr="003D50A6">
        <w:rPr>
          <w:rFonts w:ascii="Times New Roman" w:eastAsia="標楷體" w:hAnsi="Times New Roman"/>
        </w:rPr>
        <w:t xml:space="preserve"> 2 </w:t>
      </w:r>
      <w:r w:rsidRPr="003D50A6">
        <w:rPr>
          <w:rFonts w:ascii="Times New Roman" w:eastAsia="標楷體" w:hAnsi="Times New Roman"/>
        </w:rPr>
        <w:t>條驅鳥繩。</w:t>
      </w:r>
    </w:p>
    <w:p w14:paraId="7C746D5A" w14:textId="77777777" w:rsidR="003D50A6" w:rsidRDefault="00141C9E" w:rsidP="003D50A6">
      <w:pPr>
        <w:pStyle w:val="a7"/>
        <w:numPr>
          <w:ilvl w:val="0"/>
          <w:numId w:val="8"/>
        </w:numPr>
        <w:ind w:leftChars="0" w:left="499" w:hanging="357"/>
        <w:rPr>
          <w:rFonts w:ascii="Times New Roman" w:eastAsia="標楷體" w:hAnsi="Times New Roman"/>
        </w:rPr>
      </w:pPr>
      <w:r w:rsidRPr="003D50A6">
        <w:rPr>
          <w:rFonts w:ascii="Times New Roman" w:eastAsia="標楷體" w:hAnsi="Times New Roman"/>
        </w:rPr>
        <w:lastRenderedPageBreak/>
        <w:t>倘漁民以手拋支繩，應確保餌鈎和捲成圈的支繩在驅鳥繩的保護下拋出，避免推進器引發之亂流降低沈降速率。</w:t>
      </w:r>
    </w:p>
    <w:p w14:paraId="3AAC133D" w14:textId="4F11E469" w:rsidR="00141C9E" w:rsidRPr="003D50A6" w:rsidRDefault="003D50A6" w:rsidP="003D50A6">
      <w:pPr>
        <w:pStyle w:val="a7"/>
        <w:numPr>
          <w:ilvl w:val="0"/>
          <w:numId w:val="8"/>
        </w:numPr>
        <w:ind w:leftChars="0" w:left="499" w:hanging="357"/>
        <w:rPr>
          <w:rFonts w:ascii="Times New Roman" w:eastAsia="標楷體" w:hAnsi="Times New Roman"/>
        </w:rPr>
      </w:pPr>
      <w:r w:rsidRPr="003D50A6">
        <w:rPr>
          <w:rFonts w:ascii="Times New Roman" w:eastAsia="標楷體" w:hAnsi="Times New Roman" w:hint="eastAsia"/>
        </w:rPr>
        <w:t>鼓</w:t>
      </w:r>
      <w:r w:rsidR="00141C9E" w:rsidRPr="003D50A6">
        <w:rPr>
          <w:rFonts w:ascii="Times New Roman" w:eastAsia="標楷體" w:hAnsi="Times New Roman"/>
        </w:rPr>
        <w:t>勵漁民裝設手動、電動或油壓起繩機，以增進驅鳥繩放設及回收之容易度。</w:t>
      </w:r>
    </w:p>
    <w:p w14:paraId="2C083DA3" w14:textId="5331603E" w:rsidR="00141C9E" w:rsidRPr="00141C9E" w:rsidRDefault="00141C9E" w:rsidP="00141C9E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</w:p>
    <w:p w14:paraId="2846160C" w14:textId="71D35F23" w:rsidR="00141C9E" w:rsidRPr="00141C9E" w:rsidRDefault="00141C9E" w:rsidP="00141C9E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  <w:r w:rsidRPr="00FB334C">
        <w:rPr>
          <w:rFonts w:ascii="Times New Roman" w:eastAsia="標楷體" w:hAnsi="Times New Roman"/>
          <w:noProof/>
        </w:rPr>
        <w:drawing>
          <wp:inline distT="0" distB="0" distL="0" distR="0" wp14:anchorId="54F5A5AB" wp14:editId="6EE176F2">
            <wp:extent cx="5210902" cy="3229426"/>
            <wp:effectExtent l="0" t="0" r="0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34117" w14:textId="51F4E945" w:rsidR="00141C9E" w:rsidRPr="00141C9E" w:rsidRDefault="00141C9E" w:rsidP="00141C9E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</w:p>
    <w:p w14:paraId="3BA5D4B5" w14:textId="77777777" w:rsidR="00141C9E" w:rsidRPr="00141C9E" w:rsidRDefault="00141C9E" w:rsidP="00141C9E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</w:p>
    <w:p w14:paraId="31B16EF0" w14:textId="49B2BEB1" w:rsidR="004A4BDB" w:rsidRPr="00141C9E" w:rsidRDefault="004A4BDB" w:rsidP="00141C9E">
      <w:pPr>
        <w:widowControl/>
        <w:suppressAutoHyphens w:val="0"/>
        <w:autoSpaceDN/>
        <w:textAlignment w:val="auto"/>
        <w:rPr>
          <w:rFonts w:ascii="Times New Roman" w:eastAsia="標楷體" w:hAnsi="Times New Roman"/>
        </w:rPr>
      </w:pPr>
    </w:p>
    <w:sectPr w:rsidR="004A4BDB" w:rsidRPr="00141C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6DC3E" w14:textId="77777777" w:rsidR="006305F0" w:rsidRDefault="006305F0" w:rsidP="008F1D32">
      <w:r>
        <w:separator/>
      </w:r>
    </w:p>
  </w:endnote>
  <w:endnote w:type="continuationSeparator" w:id="0">
    <w:p w14:paraId="45A297AA" w14:textId="77777777" w:rsidR="006305F0" w:rsidRDefault="006305F0" w:rsidP="008F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2033C" w14:textId="77777777" w:rsidR="006305F0" w:rsidRDefault="006305F0" w:rsidP="008F1D32">
      <w:r>
        <w:separator/>
      </w:r>
    </w:p>
  </w:footnote>
  <w:footnote w:type="continuationSeparator" w:id="0">
    <w:p w14:paraId="6896BE62" w14:textId="77777777" w:rsidR="006305F0" w:rsidRDefault="006305F0" w:rsidP="008F1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F41DE"/>
    <w:multiLevelType w:val="hybridMultilevel"/>
    <w:tmpl w:val="42563E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4C1D2F"/>
    <w:multiLevelType w:val="hybridMultilevel"/>
    <w:tmpl w:val="752206F8"/>
    <w:lvl w:ilvl="0" w:tplc="77EC2CC0">
      <w:start w:val="7"/>
      <w:numFmt w:val="decimal"/>
      <w:lvlText w:val="%1.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560EA9"/>
    <w:multiLevelType w:val="hybridMultilevel"/>
    <w:tmpl w:val="3508ED50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 w15:restartNumberingAfterBreak="0">
    <w:nsid w:val="3DA53450"/>
    <w:multiLevelType w:val="hybridMultilevel"/>
    <w:tmpl w:val="C00E6148"/>
    <w:lvl w:ilvl="0" w:tplc="3B8CC798">
      <w:start w:val="7"/>
      <w:numFmt w:val="decimal"/>
      <w:lvlText w:val="%1.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" w15:restartNumberingAfterBreak="0">
    <w:nsid w:val="4B2056A5"/>
    <w:multiLevelType w:val="hybridMultilevel"/>
    <w:tmpl w:val="CC8C9198"/>
    <w:lvl w:ilvl="0" w:tplc="7402F8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69EC60FB"/>
    <w:multiLevelType w:val="hybridMultilevel"/>
    <w:tmpl w:val="8A86C4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E4B0EFA"/>
    <w:multiLevelType w:val="hybridMultilevel"/>
    <w:tmpl w:val="8A0EDC4A"/>
    <w:lvl w:ilvl="0" w:tplc="A26C9B18">
      <w:numFmt w:val="bullet"/>
      <w:lvlText w:val=""/>
      <w:lvlJc w:val="left"/>
      <w:pPr>
        <w:ind w:left="592" w:hanging="480"/>
      </w:pPr>
      <w:rPr>
        <w:rFonts w:ascii="Wingdings" w:eastAsia="Wingdings" w:hAnsi="Wingdings" w:cs="Wingdings" w:hint="default"/>
        <w:w w:val="162"/>
        <w:sz w:val="24"/>
        <w:szCs w:val="24"/>
      </w:rPr>
    </w:lvl>
    <w:lvl w:ilvl="1" w:tplc="7EF4CEEC">
      <w:numFmt w:val="bullet"/>
      <w:lvlText w:val="•"/>
      <w:lvlJc w:val="left"/>
      <w:pPr>
        <w:ind w:left="1043" w:hanging="480"/>
      </w:pPr>
      <w:rPr>
        <w:rFonts w:hint="default"/>
      </w:rPr>
    </w:lvl>
    <w:lvl w:ilvl="2" w:tplc="EC30ABA4">
      <w:numFmt w:val="bullet"/>
      <w:lvlText w:val="•"/>
      <w:lvlJc w:val="left"/>
      <w:pPr>
        <w:ind w:left="1486" w:hanging="480"/>
      </w:pPr>
      <w:rPr>
        <w:rFonts w:hint="default"/>
      </w:rPr>
    </w:lvl>
    <w:lvl w:ilvl="3" w:tplc="311EDBB0">
      <w:numFmt w:val="bullet"/>
      <w:lvlText w:val="•"/>
      <w:lvlJc w:val="left"/>
      <w:pPr>
        <w:ind w:left="1929" w:hanging="480"/>
      </w:pPr>
      <w:rPr>
        <w:rFonts w:hint="default"/>
      </w:rPr>
    </w:lvl>
    <w:lvl w:ilvl="4" w:tplc="91B8A542">
      <w:numFmt w:val="bullet"/>
      <w:lvlText w:val="•"/>
      <w:lvlJc w:val="left"/>
      <w:pPr>
        <w:ind w:left="2372" w:hanging="480"/>
      </w:pPr>
      <w:rPr>
        <w:rFonts w:hint="default"/>
      </w:rPr>
    </w:lvl>
    <w:lvl w:ilvl="5" w:tplc="69464156">
      <w:numFmt w:val="bullet"/>
      <w:lvlText w:val="•"/>
      <w:lvlJc w:val="left"/>
      <w:pPr>
        <w:ind w:left="2815" w:hanging="480"/>
      </w:pPr>
      <w:rPr>
        <w:rFonts w:hint="default"/>
      </w:rPr>
    </w:lvl>
    <w:lvl w:ilvl="6" w:tplc="074096EC">
      <w:numFmt w:val="bullet"/>
      <w:lvlText w:val="•"/>
      <w:lvlJc w:val="left"/>
      <w:pPr>
        <w:ind w:left="3258" w:hanging="480"/>
      </w:pPr>
      <w:rPr>
        <w:rFonts w:hint="default"/>
      </w:rPr>
    </w:lvl>
    <w:lvl w:ilvl="7" w:tplc="4572A5CE">
      <w:numFmt w:val="bullet"/>
      <w:lvlText w:val="•"/>
      <w:lvlJc w:val="left"/>
      <w:pPr>
        <w:ind w:left="3701" w:hanging="480"/>
      </w:pPr>
      <w:rPr>
        <w:rFonts w:hint="default"/>
      </w:rPr>
    </w:lvl>
    <w:lvl w:ilvl="8" w:tplc="38E29E6E">
      <w:numFmt w:val="bullet"/>
      <w:lvlText w:val="•"/>
      <w:lvlJc w:val="left"/>
      <w:pPr>
        <w:ind w:left="4144" w:hanging="480"/>
      </w:pPr>
      <w:rPr>
        <w:rFonts w:hint="default"/>
      </w:rPr>
    </w:lvl>
  </w:abstractNum>
  <w:abstractNum w:abstractNumId="7" w15:restartNumberingAfterBreak="0">
    <w:nsid w:val="7765341A"/>
    <w:multiLevelType w:val="hybridMultilevel"/>
    <w:tmpl w:val="F8C41214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19A"/>
    <w:rsid w:val="000705D0"/>
    <w:rsid w:val="00141C9E"/>
    <w:rsid w:val="00201EB3"/>
    <w:rsid w:val="00316238"/>
    <w:rsid w:val="003D50A6"/>
    <w:rsid w:val="003D7DC9"/>
    <w:rsid w:val="00400A38"/>
    <w:rsid w:val="004A4BDB"/>
    <w:rsid w:val="005614D0"/>
    <w:rsid w:val="006305F0"/>
    <w:rsid w:val="00657A7B"/>
    <w:rsid w:val="007132EF"/>
    <w:rsid w:val="00715E00"/>
    <w:rsid w:val="007664F1"/>
    <w:rsid w:val="00847282"/>
    <w:rsid w:val="008D24B6"/>
    <w:rsid w:val="008F1D32"/>
    <w:rsid w:val="009F67BC"/>
    <w:rsid w:val="00A0160F"/>
    <w:rsid w:val="00AD1402"/>
    <w:rsid w:val="00AF0FA2"/>
    <w:rsid w:val="00B86ACE"/>
    <w:rsid w:val="00C0519A"/>
    <w:rsid w:val="00CA6EB2"/>
    <w:rsid w:val="00D34D03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08230E"/>
  <w15:chartTrackingRefBased/>
  <w15:docId w15:val="{5DDFF77A-62F1-4C27-9A63-B5584564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0519A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1D32"/>
    <w:rPr>
      <w:rFonts w:ascii="Calibri" w:eastAsia="新細明體" w:hAnsi="Calibri" w:cs="Calibri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1D32"/>
    <w:rPr>
      <w:rFonts w:ascii="Calibri" w:eastAsia="新細明體" w:hAnsi="Calibri" w:cs="Calibri"/>
      <w:kern w:val="3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4A4BDB"/>
    <w:pPr>
      <w:suppressAutoHyphens w:val="0"/>
      <w:autoSpaceDE w:val="0"/>
      <w:ind w:left="112"/>
      <w:textAlignment w:val="auto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A4BD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List Paragraph"/>
    <w:basedOn w:val="a"/>
    <w:uiPriority w:val="99"/>
    <w:qFormat/>
    <w:rsid w:val="00657A7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謝銘煇</dc:creator>
  <cp:keywords/>
  <dc:description/>
  <cp:lastModifiedBy>蕭韵穎</cp:lastModifiedBy>
  <cp:revision>10</cp:revision>
  <cp:lastPrinted>2026-05-07T11:49:00Z</cp:lastPrinted>
  <dcterms:created xsi:type="dcterms:W3CDTF">2026-04-15T08:19:00Z</dcterms:created>
  <dcterms:modified xsi:type="dcterms:W3CDTF">2026-05-07T11:55:00Z</dcterms:modified>
</cp:coreProperties>
</file>